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05AC" w14:textId="77777777" w:rsidR="00A92DB4" w:rsidRDefault="00960CFF" w:rsidP="00A92DB4">
      <w:pPr>
        <w:rPr>
          <w:rFonts w:cs="Arial"/>
          <w:szCs w:val="24"/>
        </w:rPr>
      </w:pPr>
      <w:r>
        <w:rPr>
          <w:rFonts w:cs="Arial"/>
          <w:szCs w:val="24"/>
        </w:rPr>
        <w:t xml:space="preserve"> </w:t>
      </w:r>
    </w:p>
    <w:p w14:paraId="1B3C572D" w14:textId="77777777" w:rsidR="00A92DB4" w:rsidRDefault="00A92DB4" w:rsidP="00A92DB4">
      <w:pPr>
        <w:rPr>
          <w:rFonts w:cs="Arial"/>
          <w:szCs w:val="24"/>
        </w:rPr>
      </w:pPr>
    </w:p>
    <w:p w14:paraId="74E91BF5" w14:textId="77777777" w:rsidR="00A92DB4" w:rsidRDefault="00A92DB4" w:rsidP="00A92DB4">
      <w:pPr>
        <w:jc w:val="center"/>
        <w:rPr>
          <w:rFonts w:cs="Arial"/>
          <w:szCs w:val="24"/>
        </w:rPr>
      </w:pPr>
      <w:r>
        <w:rPr>
          <w:rFonts w:cs="Arial"/>
          <w:noProof/>
          <w:szCs w:val="24"/>
        </w:rPr>
        <w:drawing>
          <wp:inline distT="0" distB="0" distL="0" distR="0" wp14:anchorId="2F75791E" wp14:editId="48B44EA3">
            <wp:extent cx="2247900" cy="13540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9627" cy="1361129"/>
                    </a:xfrm>
                    <a:prstGeom prst="rect">
                      <a:avLst/>
                    </a:prstGeom>
                    <a:noFill/>
                  </pic:spPr>
                </pic:pic>
              </a:graphicData>
            </a:graphic>
          </wp:inline>
        </w:drawing>
      </w:r>
    </w:p>
    <w:p w14:paraId="2DE27234" w14:textId="77777777" w:rsidR="00A92DB4" w:rsidRDefault="00A92DB4" w:rsidP="00A92DB4">
      <w:pPr>
        <w:rPr>
          <w:rFonts w:cs="Arial"/>
          <w:szCs w:val="24"/>
        </w:rPr>
      </w:pPr>
    </w:p>
    <w:p w14:paraId="6343F374" w14:textId="77777777" w:rsidR="00A92DB4" w:rsidRDefault="00A92DB4" w:rsidP="00A92DB4">
      <w:pPr>
        <w:rPr>
          <w:rFonts w:cs="Arial"/>
          <w:szCs w:val="24"/>
        </w:rPr>
      </w:pPr>
    </w:p>
    <w:p w14:paraId="40DF9CAE" w14:textId="77777777" w:rsidR="00A92DB4" w:rsidRPr="005A412D" w:rsidRDefault="00A92DB4" w:rsidP="00A92DB4">
      <w:pPr>
        <w:pStyle w:val="DocumentTitle"/>
        <w:rPr>
          <w:rFonts w:cs="Arial"/>
          <w:sz w:val="36"/>
          <w:szCs w:val="36"/>
        </w:rPr>
      </w:pPr>
      <w:r w:rsidRPr="005A412D">
        <w:rPr>
          <w:rFonts w:cs="Arial"/>
          <w:sz w:val="36"/>
          <w:szCs w:val="36"/>
        </w:rPr>
        <w:t>Asset Management Review Group</w:t>
      </w:r>
    </w:p>
    <w:p w14:paraId="5D8A9C7F" w14:textId="77777777" w:rsidR="00A92DB4" w:rsidRDefault="00A92DB4" w:rsidP="00A92DB4">
      <w:pPr>
        <w:pStyle w:val="DocumentTitle"/>
        <w:rPr>
          <w:rFonts w:cs="Arial"/>
          <w:sz w:val="32"/>
          <w:szCs w:val="32"/>
        </w:rPr>
      </w:pPr>
    </w:p>
    <w:p w14:paraId="29A29372" w14:textId="77777777" w:rsidR="00A92DB4" w:rsidRDefault="00A92DB4" w:rsidP="00A92DB4">
      <w:pPr>
        <w:pStyle w:val="DocumentTitle"/>
        <w:rPr>
          <w:rFonts w:cs="Arial"/>
          <w:sz w:val="32"/>
          <w:szCs w:val="32"/>
        </w:rPr>
      </w:pPr>
      <w:r>
        <w:rPr>
          <w:rFonts w:cs="Arial"/>
          <w:sz w:val="32"/>
          <w:szCs w:val="32"/>
        </w:rPr>
        <w:t xml:space="preserve">Project Governance </w:t>
      </w:r>
    </w:p>
    <w:p w14:paraId="5CFF580D" w14:textId="77777777" w:rsidR="00A92DB4" w:rsidRDefault="00A92DB4" w:rsidP="00A92DB4">
      <w:pPr>
        <w:pStyle w:val="DocumentTitle"/>
        <w:rPr>
          <w:rFonts w:cs="Arial"/>
          <w:sz w:val="32"/>
          <w:szCs w:val="32"/>
        </w:rPr>
      </w:pPr>
      <w:r>
        <w:rPr>
          <w:rFonts w:cs="Arial"/>
          <w:sz w:val="32"/>
          <w:szCs w:val="32"/>
        </w:rPr>
        <w:t>Terms of Reference</w:t>
      </w:r>
    </w:p>
    <w:p w14:paraId="4AE1CA2E" w14:textId="77777777" w:rsidR="00A92DB4" w:rsidRDefault="00A92DB4" w:rsidP="00A92DB4">
      <w:pPr>
        <w:rPr>
          <w:rFonts w:cs="Arial"/>
          <w:szCs w:val="24"/>
        </w:rPr>
      </w:pPr>
    </w:p>
    <w:p w14:paraId="53163049" w14:textId="77777777" w:rsidR="00A92DB4" w:rsidRDefault="00A92DB4" w:rsidP="00A92DB4">
      <w:pPr>
        <w:rPr>
          <w:rFonts w:cs="Arial"/>
          <w:szCs w:val="24"/>
        </w:rPr>
      </w:pPr>
    </w:p>
    <w:p w14:paraId="154737BD" w14:textId="77777777" w:rsidR="00A92DB4" w:rsidRDefault="00A92DB4" w:rsidP="00A92DB4">
      <w:pPr>
        <w:jc w:val="center"/>
        <w:rPr>
          <w:rFonts w:cs="Arial"/>
          <w:szCs w:val="24"/>
        </w:rPr>
      </w:pPr>
    </w:p>
    <w:p w14:paraId="6832119E" w14:textId="77777777" w:rsidR="00A92DB4" w:rsidRDefault="00A92DB4" w:rsidP="00A92DB4">
      <w:pPr>
        <w:jc w:val="right"/>
        <w:rPr>
          <w:rFonts w:cs="Arial"/>
          <w:color w:val="000080"/>
          <w:szCs w:val="24"/>
        </w:rPr>
      </w:pPr>
    </w:p>
    <w:p w14:paraId="63DAD0EF" w14:textId="77777777" w:rsidR="00A92DB4" w:rsidRDefault="00A92DB4" w:rsidP="00A92DB4">
      <w:pPr>
        <w:rPr>
          <w:rFonts w:cs="Arial"/>
          <w:b/>
          <w:szCs w:val="24"/>
        </w:rPr>
      </w:pPr>
      <w:r>
        <w:rPr>
          <w:rFonts w:cs="Arial"/>
          <w:b/>
          <w:szCs w:val="24"/>
        </w:rPr>
        <w:t>Document Status:</w:t>
      </w:r>
      <w:r>
        <w:rPr>
          <w:rFonts w:cs="Arial"/>
          <w:b/>
          <w:szCs w:val="24"/>
        </w:rPr>
        <w:tab/>
      </w:r>
      <w:r>
        <w:rPr>
          <w:rFonts w:cs="Arial"/>
          <w:b/>
          <w:szCs w:val="24"/>
        </w:rPr>
        <w:tab/>
        <w:t>Final</w:t>
      </w:r>
    </w:p>
    <w:p w14:paraId="5C8E484C" w14:textId="77777777" w:rsidR="00A92DB4" w:rsidRDefault="00A92DB4" w:rsidP="00A92DB4">
      <w:pPr>
        <w:rPr>
          <w:rFonts w:cs="Arial"/>
          <w:b/>
          <w:szCs w:val="24"/>
        </w:rPr>
      </w:pPr>
    </w:p>
    <w:p w14:paraId="597885E4" w14:textId="77777777" w:rsidR="00A92DB4" w:rsidRDefault="00A92DB4" w:rsidP="00A92DB4">
      <w:pPr>
        <w:rPr>
          <w:rFonts w:cs="Arial"/>
          <w:b/>
          <w:bCs/>
        </w:rPr>
      </w:pPr>
      <w:r w:rsidRPr="6AA41DDF">
        <w:rPr>
          <w:rFonts w:cs="Arial"/>
          <w:b/>
          <w:bCs/>
        </w:rPr>
        <w:t>Created:</w:t>
      </w:r>
      <w:r>
        <w:tab/>
      </w:r>
      <w:r>
        <w:tab/>
      </w:r>
      <w:r>
        <w:tab/>
      </w:r>
      <w:r w:rsidRPr="6AA41DDF">
        <w:rPr>
          <w:rFonts w:cs="Arial"/>
          <w:b/>
          <w:bCs/>
        </w:rPr>
        <w:t>2</w:t>
      </w:r>
      <w:r>
        <w:rPr>
          <w:rFonts w:cs="Arial"/>
          <w:b/>
          <w:bCs/>
        </w:rPr>
        <w:t>3</w:t>
      </w:r>
      <w:r w:rsidRPr="6AA41DDF">
        <w:rPr>
          <w:rFonts w:cs="Arial"/>
          <w:b/>
          <w:bCs/>
        </w:rPr>
        <w:t>.11.2022</w:t>
      </w:r>
      <w:r>
        <w:tab/>
      </w:r>
      <w:r>
        <w:tab/>
      </w:r>
    </w:p>
    <w:p w14:paraId="7FB56673" w14:textId="77777777" w:rsidR="00A92DB4" w:rsidRDefault="00A92DB4" w:rsidP="00A92DB4">
      <w:pPr>
        <w:rPr>
          <w:rFonts w:cs="Arial"/>
          <w:b/>
          <w:szCs w:val="24"/>
        </w:rPr>
      </w:pPr>
    </w:p>
    <w:p w14:paraId="6D2835D2" w14:textId="77777777" w:rsidR="00A92DB4" w:rsidRPr="003122A3" w:rsidRDefault="00A92DB4" w:rsidP="00A92DB4">
      <w:pPr>
        <w:numPr>
          <w:ilvl w:val="0"/>
          <w:numId w:val="6"/>
        </w:numPr>
        <w:rPr>
          <w:rFonts w:cs="Arial"/>
          <w:b/>
          <w:bCs/>
          <w:sz w:val="32"/>
          <w:szCs w:val="32"/>
        </w:rPr>
      </w:pPr>
      <w:r w:rsidRPr="003122A3">
        <w:rPr>
          <w:rFonts w:cs="Arial"/>
          <w:b/>
          <w:bCs/>
          <w:sz w:val="32"/>
          <w:szCs w:val="32"/>
        </w:rPr>
        <w:t>Purpose</w:t>
      </w:r>
    </w:p>
    <w:p w14:paraId="3AA5B6CB" w14:textId="77777777" w:rsidR="00A92DB4" w:rsidRDefault="00A92DB4" w:rsidP="00A92DB4">
      <w:pPr>
        <w:rPr>
          <w:rFonts w:cs="Arial"/>
        </w:rPr>
      </w:pPr>
    </w:p>
    <w:p w14:paraId="02626D2E" w14:textId="77777777" w:rsidR="00A92DB4" w:rsidRPr="008C77A3" w:rsidRDefault="00A92DB4" w:rsidP="00A92DB4">
      <w:pPr>
        <w:numPr>
          <w:ilvl w:val="1"/>
          <w:numId w:val="6"/>
        </w:numPr>
        <w:spacing w:before="100" w:beforeAutospacing="1" w:after="100" w:afterAutospacing="1" w:line="259" w:lineRule="auto"/>
        <w:contextualSpacing/>
        <w:rPr>
          <w:color w:val="000000"/>
          <w:sz w:val="22"/>
          <w:szCs w:val="22"/>
        </w:rPr>
      </w:pPr>
      <w:r w:rsidRPr="00A30174">
        <w:rPr>
          <w:rFonts w:cs="Arial"/>
          <w:color w:val="000000"/>
          <w:sz w:val="22"/>
          <w:szCs w:val="22"/>
          <w:lang w:eastAsia="en-US"/>
        </w:rPr>
        <w:t>Purpose of the</w:t>
      </w:r>
      <w:r>
        <w:rPr>
          <w:color w:val="000000"/>
          <w:szCs w:val="24"/>
        </w:rPr>
        <w:t xml:space="preserve"> </w:t>
      </w:r>
      <w:r w:rsidRPr="00804B5D">
        <w:rPr>
          <w:color w:val="000000"/>
          <w:sz w:val="22"/>
          <w:szCs w:val="22"/>
        </w:rPr>
        <w:t>Asset Management Review Group</w:t>
      </w:r>
    </w:p>
    <w:p w14:paraId="1503329D" w14:textId="77777777" w:rsidR="00A92DB4" w:rsidRPr="00A30174" w:rsidRDefault="00A92DB4" w:rsidP="00A92DB4">
      <w:pPr>
        <w:spacing w:before="100" w:beforeAutospacing="1" w:after="100" w:afterAutospacing="1" w:line="259" w:lineRule="auto"/>
        <w:contextualSpacing/>
        <w:rPr>
          <w:rFonts w:cs="Arial"/>
          <w:color w:val="000000"/>
          <w:sz w:val="22"/>
          <w:szCs w:val="22"/>
          <w:lang w:eastAsia="en-US"/>
        </w:rPr>
      </w:pPr>
    </w:p>
    <w:p w14:paraId="36B96DA8" w14:textId="77777777" w:rsidR="00A92DB4" w:rsidRPr="00A30174" w:rsidRDefault="00A92DB4" w:rsidP="00A92DB4">
      <w:pPr>
        <w:numPr>
          <w:ilvl w:val="0"/>
          <w:numId w:val="5"/>
        </w:numPr>
        <w:spacing w:before="100" w:beforeAutospacing="1" w:after="100" w:afterAutospacing="1" w:line="259" w:lineRule="auto"/>
        <w:contextualSpacing/>
        <w:rPr>
          <w:rFonts w:cs="Arial"/>
          <w:color w:val="000000"/>
          <w:sz w:val="22"/>
          <w:szCs w:val="22"/>
          <w:lang w:eastAsia="en-US"/>
        </w:rPr>
      </w:pPr>
      <w:r w:rsidRPr="00A30174">
        <w:rPr>
          <w:rFonts w:cs="Arial"/>
          <w:color w:val="000000"/>
          <w:sz w:val="22"/>
          <w:szCs w:val="22"/>
          <w:lang w:eastAsia="en-US"/>
        </w:rPr>
        <w:t xml:space="preserve">To assemble key areas of EHDC to share financial, legal and strategic status of property assets </w:t>
      </w:r>
    </w:p>
    <w:p w14:paraId="02B08E7E" w14:textId="77777777" w:rsidR="00A92DB4" w:rsidRPr="00A30174" w:rsidRDefault="00A92DB4" w:rsidP="00A92DB4">
      <w:pPr>
        <w:spacing w:before="100" w:beforeAutospacing="1" w:after="100" w:afterAutospacing="1" w:line="259" w:lineRule="auto"/>
        <w:contextualSpacing/>
        <w:rPr>
          <w:rFonts w:cs="Arial"/>
          <w:color w:val="000000"/>
          <w:sz w:val="22"/>
          <w:szCs w:val="22"/>
          <w:lang w:eastAsia="en-US"/>
        </w:rPr>
      </w:pPr>
    </w:p>
    <w:p w14:paraId="4A571DB0" w14:textId="77777777" w:rsidR="00A92DB4" w:rsidRPr="00A30174" w:rsidRDefault="00A92DB4" w:rsidP="00A92DB4">
      <w:pPr>
        <w:numPr>
          <w:ilvl w:val="0"/>
          <w:numId w:val="5"/>
        </w:numPr>
        <w:spacing w:before="100" w:beforeAutospacing="1" w:after="100" w:afterAutospacing="1" w:line="259" w:lineRule="auto"/>
        <w:contextualSpacing/>
        <w:rPr>
          <w:rFonts w:cs="Arial"/>
          <w:color w:val="000000"/>
          <w:sz w:val="22"/>
          <w:szCs w:val="22"/>
          <w:lang w:eastAsia="en-US"/>
        </w:rPr>
      </w:pPr>
      <w:r w:rsidRPr="00A30174">
        <w:rPr>
          <w:rFonts w:cs="Arial"/>
          <w:color w:val="000000"/>
          <w:sz w:val="22"/>
          <w:szCs w:val="22"/>
          <w:lang w:eastAsia="en-US"/>
        </w:rPr>
        <w:t xml:space="preserve">To maintain adherence to financial and legal Governmental strategy and direction </w:t>
      </w:r>
    </w:p>
    <w:p w14:paraId="0B1ABF56" w14:textId="77777777" w:rsidR="00A92DB4" w:rsidRPr="00A30174" w:rsidRDefault="00A92DB4" w:rsidP="00A92DB4">
      <w:pPr>
        <w:spacing w:before="100" w:beforeAutospacing="1" w:after="100" w:afterAutospacing="1" w:line="259" w:lineRule="auto"/>
        <w:contextualSpacing/>
        <w:rPr>
          <w:rFonts w:cs="Arial"/>
          <w:color w:val="000000"/>
          <w:sz w:val="22"/>
          <w:szCs w:val="22"/>
          <w:lang w:eastAsia="en-US"/>
        </w:rPr>
      </w:pPr>
    </w:p>
    <w:p w14:paraId="1C2AFAEB" w14:textId="77777777" w:rsidR="00A92DB4" w:rsidRDefault="00A92DB4" w:rsidP="00A92DB4">
      <w:pPr>
        <w:numPr>
          <w:ilvl w:val="0"/>
          <w:numId w:val="5"/>
        </w:numPr>
        <w:spacing w:before="100" w:beforeAutospacing="1" w:after="100" w:afterAutospacing="1" w:line="259" w:lineRule="auto"/>
        <w:contextualSpacing/>
        <w:rPr>
          <w:rFonts w:cs="Arial"/>
          <w:color w:val="000000"/>
          <w:sz w:val="22"/>
          <w:szCs w:val="22"/>
          <w:lang w:eastAsia="en-US"/>
        </w:rPr>
      </w:pPr>
      <w:r w:rsidRPr="00A30174">
        <w:rPr>
          <w:rFonts w:cs="Arial"/>
          <w:color w:val="000000"/>
          <w:sz w:val="22"/>
          <w:szCs w:val="22"/>
          <w:lang w:eastAsia="en-US"/>
        </w:rPr>
        <w:t>To agree actions relating to the asset portfolio to maintain, develop and improve the financial legal and strategic position of the Council’s investments.</w:t>
      </w:r>
    </w:p>
    <w:p w14:paraId="37E8D772" w14:textId="77777777" w:rsidR="00A92DB4" w:rsidRPr="007A7EFF" w:rsidRDefault="00A92DB4" w:rsidP="00A92DB4">
      <w:pPr>
        <w:ind w:left="360"/>
        <w:rPr>
          <w:rFonts w:cs="Arial"/>
          <w:color w:val="000000"/>
          <w:sz w:val="22"/>
          <w:szCs w:val="22"/>
          <w:lang w:eastAsia="en-US"/>
        </w:rPr>
      </w:pPr>
    </w:p>
    <w:p w14:paraId="7A9E1497" w14:textId="77777777" w:rsidR="00A92DB4" w:rsidRDefault="00A92DB4" w:rsidP="00A92DB4">
      <w:pPr>
        <w:numPr>
          <w:ilvl w:val="0"/>
          <w:numId w:val="5"/>
        </w:numPr>
        <w:spacing w:before="100" w:beforeAutospacing="1" w:after="100" w:afterAutospacing="1" w:line="259" w:lineRule="auto"/>
        <w:contextualSpacing/>
        <w:rPr>
          <w:rFonts w:cs="Arial"/>
          <w:color w:val="000000"/>
          <w:sz w:val="22"/>
          <w:szCs w:val="22"/>
          <w:lang w:eastAsia="en-US"/>
        </w:rPr>
      </w:pPr>
      <w:r>
        <w:rPr>
          <w:rFonts w:cs="Arial"/>
          <w:color w:val="000000"/>
          <w:sz w:val="22"/>
          <w:szCs w:val="22"/>
          <w:lang w:eastAsia="en-US"/>
        </w:rPr>
        <w:t xml:space="preserve">To assure adherence to the agreed Asset Management Strategy </w:t>
      </w:r>
    </w:p>
    <w:p w14:paraId="1D88DF71" w14:textId="77777777" w:rsidR="00A92DB4" w:rsidRPr="007A7EFF" w:rsidRDefault="00A92DB4" w:rsidP="00A92DB4">
      <w:pPr>
        <w:ind w:left="360"/>
        <w:rPr>
          <w:rFonts w:cs="Arial"/>
          <w:color w:val="000000"/>
          <w:sz w:val="22"/>
          <w:szCs w:val="22"/>
          <w:lang w:eastAsia="en-US"/>
        </w:rPr>
      </w:pPr>
    </w:p>
    <w:p w14:paraId="26F0ABD3" w14:textId="77777777" w:rsidR="00A92DB4" w:rsidRDefault="00A92DB4" w:rsidP="00A92DB4">
      <w:pPr>
        <w:numPr>
          <w:ilvl w:val="0"/>
          <w:numId w:val="5"/>
        </w:numPr>
        <w:spacing w:before="100" w:beforeAutospacing="1" w:after="100" w:afterAutospacing="1" w:line="259" w:lineRule="auto"/>
        <w:contextualSpacing/>
        <w:rPr>
          <w:rFonts w:cs="Arial"/>
          <w:color w:val="000000"/>
          <w:sz w:val="22"/>
          <w:szCs w:val="22"/>
          <w:lang w:eastAsia="en-US"/>
        </w:rPr>
      </w:pPr>
      <w:r>
        <w:rPr>
          <w:rFonts w:cs="Arial"/>
          <w:color w:val="000000"/>
          <w:sz w:val="22"/>
          <w:szCs w:val="22"/>
          <w:lang w:eastAsia="en-US"/>
        </w:rPr>
        <w:t>To maintain links to the Mid Term Financial Strategy</w:t>
      </w:r>
    </w:p>
    <w:p w14:paraId="79FC72D9" w14:textId="77777777" w:rsidR="00A92DB4" w:rsidRDefault="00A92DB4" w:rsidP="00A92DB4">
      <w:pPr>
        <w:spacing w:before="100" w:beforeAutospacing="1" w:after="100" w:afterAutospacing="1" w:line="259" w:lineRule="auto"/>
        <w:ind w:left="720"/>
        <w:contextualSpacing/>
        <w:rPr>
          <w:rFonts w:cs="Arial"/>
          <w:color w:val="000000"/>
          <w:sz w:val="22"/>
          <w:szCs w:val="22"/>
          <w:lang w:eastAsia="en-US"/>
        </w:rPr>
      </w:pPr>
    </w:p>
    <w:p w14:paraId="64CEEDAF" w14:textId="77777777" w:rsidR="00A92DB4" w:rsidRDefault="00A92DB4" w:rsidP="00A92DB4">
      <w:pPr>
        <w:numPr>
          <w:ilvl w:val="0"/>
          <w:numId w:val="5"/>
        </w:numPr>
        <w:spacing w:before="100" w:beforeAutospacing="1" w:after="100" w:afterAutospacing="1" w:line="259" w:lineRule="auto"/>
        <w:contextualSpacing/>
        <w:rPr>
          <w:rFonts w:cs="Arial"/>
          <w:color w:val="000000"/>
          <w:sz w:val="22"/>
          <w:szCs w:val="22"/>
          <w:lang w:eastAsia="en-US"/>
        </w:rPr>
      </w:pPr>
      <w:r>
        <w:rPr>
          <w:rFonts w:cs="Arial"/>
          <w:color w:val="000000"/>
          <w:sz w:val="22"/>
          <w:szCs w:val="22"/>
          <w:lang w:eastAsia="en-US"/>
        </w:rPr>
        <w:t xml:space="preserve">To support lead officers in terms of decision-making relative to their delegations. </w:t>
      </w:r>
    </w:p>
    <w:p w14:paraId="71814057" w14:textId="77777777" w:rsidR="00A92DB4" w:rsidRDefault="00A92DB4" w:rsidP="00A92DB4">
      <w:pPr>
        <w:pStyle w:val="ListParagraph"/>
        <w:rPr>
          <w:rFonts w:cs="Arial"/>
          <w:color w:val="000000"/>
          <w:sz w:val="22"/>
          <w:szCs w:val="22"/>
          <w:lang w:eastAsia="en-US"/>
        </w:rPr>
      </w:pPr>
    </w:p>
    <w:p w14:paraId="068E4DC8" w14:textId="77777777" w:rsidR="00A92DB4" w:rsidRDefault="00A92DB4" w:rsidP="00A92DB4">
      <w:pPr>
        <w:spacing w:before="100" w:beforeAutospacing="1" w:after="100" w:afterAutospacing="1" w:line="259" w:lineRule="auto"/>
        <w:ind w:left="720"/>
        <w:contextualSpacing/>
        <w:rPr>
          <w:rFonts w:cs="Arial"/>
          <w:color w:val="000000"/>
          <w:sz w:val="22"/>
          <w:szCs w:val="22"/>
          <w:lang w:eastAsia="en-US"/>
        </w:rPr>
      </w:pPr>
    </w:p>
    <w:p w14:paraId="1C4AB505" w14:textId="77777777" w:rsidR="00A92DB4" w:rsidRDefault="00A92DB4" w:rsidP="00A92DB4">
      <w:pPr>
        <w:spacing w:before="100" w:beforeAutospacing="1" w:after="100" w:afterAutospacing="1" w:line="259" w:lineRule="auto"/>
        <w:contextualSpacing/>
        <w:rPr>
          <w:rFonts w:cs="Arial"/>
          <w:color w:val="000000"/>
          <w:sz w:val="22"/>
          <w:szCs w:val="22"/>
          <w:lang w:eastAsia="en-US"/>
        </w:rPr>
      </w:pPr>
    </w:p>
    <w:p w14:paraId="790F3F9A" w14:textId="77777777" w:rsidR="00A92DB4" w:rsidRPr="003122A3" w:rsidRDefault="00A92DB4" w:rsidP="00A92DB4">
      <w:pPr>
        <w:numPr>
          <w:ilvl w:val="0"/>
          <w:numId w:val="6"/>
        </w:numPr>
        <w:rPr>
          <w:rFonts w:cs="Arial"/>
          <w:b/>
          <w:bCs/>
          <w:sz w:val="32"/>
          <w:szCs w:val="32"/>
        </w:rPr>
      </w:pPr>
      <w:r w:rsidRPr="003122A3">
        <w:rPr>
          <w:rFonts w:cs="Arial"/>
          <w:b/>
          <w:bCs/>
          <w:sz w:val="32"/>
          <w:szCs w:val="32"/>
        </w:rPr>
        <w:t>Asset Management background and context</w:t>
      </w:r>
    </w:p>
    <w:p w14:paraId="5907FF63" w14:textId="77777777" w:rsidR="00A92DB4" w:rsidRDefault="00A92DB4" w:rsidP="00A92DB4">
      <w:pPr>
        <w:spacing w:before="100" w:beforeAutospacing="1" w:after="100" w:afterAutospacing="1" w:line="259" w:lineRule="auto"/>
        <w:contextualSpacing/>
        <w:rPr>
          <w:rFonts w:cs="Arial"/>
          <w:b/>
          <w:color w:val="000000"/>
          <w:szCs w:val="24"/>
          <w:lang w:eastAsia="en-US"/>
        </w:rPr>
      </w:pPr>
    </w:p>
    <w:p w14:paraId="22DD7054" w14:textId="77777777" w:rsidR="00A92DB4" w:rsidRPr="00E85A65" w:rsidRDefault="00A92DB4" w:rsidP="00A92DB4">
      <w:pPr>
        <w:numPr>
          <w:ilvl w:val="1"/>
          <w:numId w:val="6"/>
        </w:numPr>
        <w:spacing w:before="100" w:beforeAutospacing="1" w:after="100" w:afterAutospacing="1" w:line="259" w:lineRule="auto"/>
        <w:contextualSpacing/>
        <w:rPr>
          <w:rFonts w:cs="Arial"/>
          <w:color w:val="000000"/>
          <w:sz w:val="22"/>
          <w:szCs w:val="22"/>
          <w:lang w:eastAsia="en-US"/>
        </w:rPr>
      </w:pPr>
      <w:r w:rsidRPr="00E85A65">
        <w:rPr>
          <w:rFonts w:cs="Arial"/>
          <w:color w:val="000000"/>
          <w:sz w:val="22"/>
          <w:szCs w:val="22"/>
          <w:lang w:eastAsia="en-US"/>
        </w:rPr>
        <w:t>The Commercial Property Investment Strategy (2017-2022) set out to provide a robust and viable framework for the acquisition of commercial property investments.</w:t>
      </w:r>
    </w:p>
    <w:p w14:paraId="242B078E" w14:textId="77777777" w:rsidR="00A92DB4" w:rsidRPr="00E85A65" w:rsidRDefault="00A92DB4" w:rsidP="00A92DB4">
      <w:pPr>
        <w:spacing w:before="100" w:beforeAutospacing="1" w:after="100" w:afterAutospacing="1" w:line="259" w:lineRule="auto"/>
        <w:contextualSpacing/>
        <w:rPr>
          <w:rFonts w:cs="Arial"/>
          <w:color w:val="000000"/>
          <w:sz w:val="22"/>
          <w:szCs w:val="22"/>
          <w:lang w:eastAsia="en-US"/>
        </w:rPr>
      </w:pPr>
      <w:r w:rsidRPr="00E85A65">
        <w:rPr>
          <w:rFonts w:cs="Arial"/>
          <w:color w:val="000000"/>
          <w:sz w:val="22"/>
          <w:szCs w:val="22"/>
          <w:lang w:eastAsia="en-US"/>
        </w:rPr>
        <w:t xml:space="preserve"> </w:t>
      </w:r>
    </w:p>
    <w:p w14:paraId="21CD9F8A" w14:textId="77777777" w:rsidR="00A92DB4" w:rsidRPr="00E85A65" w:rsidRDefault="00A92DB4" w:rsidP="00A92DB4">
      <w:pPr>
        <w:numPr>
          <w:ilvl w:val="1"/>
          <w:numId w:val="6"/>
        </w:numPr>
        <w:spacing w:before="100" w:beforeAutospacing="1" w:after="100" w:afterAutospacing="1" w:line="259" w:lineRule="auto"/>
        <w:contextualSpacing/>
        <w:rPr>
          <w:rFonts w:cs="Arial"/>
          <w:color w:val="000000"/>
          <w:sz w:val="22"/>
          <w:szCs w:val="22"/>
          <w:lang w:eastAsia="en-US"/>
        </w:rPr>
      </w:pPr>
      <w:r w:rsidRPr="00E85A65">
        <w:rPr>
          <w:rFonts w:cs="Arial"/>
          <w:color w:val="000000"/>
          <w:sz w:val="22"/>
          <w:szCs w:val="22"/>
          <w:lang w:eastAsia="en-US"/>
        </w:rPr>
        <w:t xml:space="preserve">The key objectives of principles of the strategy were; </w:t>
      </w:r>
    </w:p>
    <w:p w14:paraId="686E3983" w14:textId="77777777" w:rsidR="00A92DB4" w:rsidRPr="00E85A65" w:rsidRDefault="00A92DB4" w:rsidP="00A92DB4">
      <w:pPr>
        <w:spacing w:before="100" w:beforeAutospacing="1" w:after="100" w:afterAutospacing="1" w:line="259" w:lineRule="auto"/>
        <w:contextualSpacing/>
        <w:rPr>
          <w:rFonts w:cs="Arial"/>
          <w:color w:val="000000"/>
          <w:sz w:val="22"/>
          <w:szCs w:val="22"/>
          <w:lang w:eastAsia="en-US"/>
        </w:rPr>
      </w:pPr>
    </w:p>
    <w:p w14:paraId="67A14242" w14:textId="77777777" w:rsidR="00A92DB4" w:rsidRPr="00E85A65" w:rsidRDefault="00A92DB4" w:rsidP="00A92DB4">
      <w:pPr>
        <w:numPr>
          <w:ilvl w:val="0"/>
          <w:numId w:val="4"/>
        </w:numPr>
        <w:spacing w:before="100" w:beforeAutospacing="1" w:after="100" w:afterAutospacing="1" w:line="259" w:lineRule="auto"/>
        <w:contextualSpacing/>
        <w:rPr>
          <w:rFonts w:cs="Arial"/>
          <w:color w:val="000000"/>
          <w:sz w:val="22"/>
          <w:szCs w:val="22"/>
          <w:lang w:eastAsia="en-US"/>
        </w:rPr>
      </w:pPr>
      <w:r w:rsidRPr="00E85A65">
        <w:rPr>
          <w:rFonts w:cs="Arial"/>
          <w:color w:val="000000"/>
          <w:sz w:val="22"/>
          <w:szCs w:val="22"/>
          <w:lang w:eastAsia="en-US"/>
        </w:rPr>
        <w:t xml:space="preserve">to create a balanced property portfolio with a capital of up to £200m across England and Wales; </w:t>
      </w:r>
    </w:p>
    <w:p w14:paraId="3077DEDB" w14:textId="77777777" w:rsidR="00A92DB4" w:rsidRPr="00E85A65" w:rsidRDefault="00A92DB4" w:rsidP="00A92DB4">
      <w:pPr>
        <w:numPr>
          <w:ilvl w:val="0"/>
          <w:numId w:val="4"/>
        </w:numPr>
        <w:spacing w:before="100" w:beforeAutospacing="1" w:after="100" w:afterAutospacing="1" w:line="259" w:lineRule="auto"/>
        <w:contextualSpacing/>
        <w:rPr>
          <w:rFonts w:cs="Arial"/>
          <w:color w:val="000000"/>
          <w:sz w:val="22"/>
          <w:szCs w:val="22"/>
          <w:lang w:eastAsia="en-US"/>
        </w:rPr>
      </w:pPr>
      <w:r w:rsidRPr="00E85A65">
        <w:rPr>
          <w:rFonts w:cs="Arial"/>
          <w:color w:val="000000"/>
          <w:sz w:val="22"/>
          <w:szCs w:val="22"/>
          <w:lang w:eastAsia="en-US"/>
        </w:rPr>
        <w:t xml:space="preserve">to build a diverse portfolio across all property sectors; </w:t>
      </w:r>
    </w:p>
    <w:p w14:paraId="01AD3B39" w14:textId="77777777" w:rsidR="00A92DB4" w:rsidRPr="00E85A65" w:rsidRDefault="00A92DB4" w:rsidP="00A92DB4">
      <w:pPr>
        <w:numPr>
          <w:ilvl w:val="0"/>
          <w:numId w:val="4"/>
        </w:numPr>
        <w:spacing w:before="100" w:beforeAutospacing="1" w:after="100" w:afterAutospacing="1" w:line="259" w:lineRule="auto"/>
        <w:contextualSpacing/>
        <w:rPr>
          <w:rFonts w:cs="Arial"/>
          <w:color w:val="000000"/>
          <w:sz w:val="22"/>
          <w:szCs w:val="22"/>
          <w:lang w:eastAsia="en-US"/>
        </w:rPr>
      </w:pPr>
      <w:r w:rsidRPr="00E85A65">
        <w:rPr>
          <w:rFonts w:cs="Arial"/>
          <w:color w:val="000000"/>
          <w:sz w:val="22"/>
          <w:szCs w:val="22"/>
          <w:lang w:eastAsia="en-US"/>
        </w:rPr>
        <w:t xml:space="preserve">to control risk by adopting portfolio profiling and asset diversification; </w:t>
      </w:r>
    </w:p>
    <w:p w14:paraId="6DC5AE01" w14:textId="77777777" w:rsidR="00A92DB4" w:rsidRPr="00E85A65" w:rsidRDefault="00A92DB4" w:rsidP="00A92DB4">
      <w:pPr>
        <w:numPr>
          <w:ilvl w:val="0"/>
          <w:numId w:val="4"/>
        </w:numPr>
        <w:spacing w:before="100" w:beforeAutospacing="1" w:after="100" w:afterAutospacing="1" w:line="259" w:lineRule="auto"/>
        <w:contextualSpacing/>
        <w:rPr>
          <w:rFonts w:cs="Arial"/>
          <w:color w:val="000000"/>
          <w:sz w:val="22"/>
          <w:szCs w:val="22"/>
          <w:lang w:eastAsia="en-US"/>
        </w:rPr>
      </w:pPr>
      <w:r w:rsidRPr="00E85A65">
        <w:rPr>
          <w:rFonts w:cs="Arial"/>
          <w:color w:val="000000"/>
          <w:sz w:val="22"/>
          <w:szCs w:val="22"/>
          <w:lang w:eastAsia="en-US"/>
        </w:rPr>
        <w:t xml:space="preserve">to create processes which can be used to acquire and dispose of property. </w:t>
      </w:r>
    </w:p>
    <w:p w14:paraId="53B15453" w14:textId="77777777" w:rsidR="00A92DB4" w:rsidRPr="00E85A65" w:rsidRDefault="00A92DB4" w:rsidP="00A92DB4">
      <w:pPr>
        <w:spacing w:before="100" w:beforeAutospacing="1" w:after="100" w:afterAutospacing="1" w:line="259" w:lineRule="auto"/>
        <w:contextualSpacing/>
        <w:rPr>
          <w:rFonts w:cs="Arial"/>
          <w:color w:val="000000"/>
          <w:sz w:val="22"/>
          <w:szCs w:val="22"/>
          <w:lang w:eastAsia="en-US"/>
        </w:rPr>
      </w:pPr>
    </w:p>
    <w:p w14:paraId="54FCDD93" w14:textId="77777777" w:rsidR="00A92DB4" w:rsidRPr="00E85A65" w:rsidRDefault="00A92DB4" w:rsidP="00A92DB4">
      <w:pPr>
        <w:numPr>
          <w:ilvl w:val="1"/>
          <w:numId w:val="6"/>
        </w:numPr>
        <w:spacing w:before="100" w:beforeAutospacing="1" w:after="100" w:afterAutospacing="1" w:line="259" w:lineRule="auto"/>
        <w:contextualSpacing/>
        <w:rPr>
          <w:rFonts w:cs="Arial"/>
          <w:color w:val="000000"/>
          <w:sz w:val="22"/>
          <w:szCs w:val="22"/>
          <w:lang w:eastAsia="en-US"/>
        </w:rPr>
      </w:pPr>
      <w:r w:rsidRPr="00E85A65">
        <w:rPr>
          <w:rFonts w:cs="Arial"/>
          <w:color w:val="000000"/>
          <w:sz w:val="22"/>
          <w:szCs w:val="22"/>
          <w:lang w:eastAsia="en-US"/>
        </w:rPr>
        <w:t xml:space="preserve">A series of investments were subsequently made at a capital cost of circa </w:t>
      </w:r>
      <w:r w:rsidRPr="003122A3">
        <w:rPr>
          <w:rFonts w:cs="Arial"/>
          <w:color w:val="000000"/>
          <w:sz w:val="22"/>
          <w:szCs w:val="22"/>
          <w:lang w:eastAsia="en-US"/>
        </w:rPr>
        <w:t>£130 million.</w:t>
      </w:r>
      <w:r w:rsidRPr="00E85A65">
        <w:rPr>
          <w:rFonts w:cs="Arial"/>
          <w:color w:val="000000"/>
          <w:sz w:val="22"/>
          <w:szCs w:val="22"/>
          <w:lang w:eastAsia="en-US"/>
        </w:rPr>
        <w:t xml:space="preserve"> </w:t>
      </w:r>
    </w:p>
    <w:p w14:paraId="03CD400D" w14:textId="77777777" w:rsidR="00A92DB4" w:rsidRPr="00E85A65" w:rsidRDefault="00A92DB4" w:rsidP="00A92DB4">
      <w:pPr>
        <w:spacing w:before="100" w:beforeAutospacing="1" w:after="100" w:afterAutospacing="1" w:line="259" w:lineRule="auto"/>
        <w:contextualSpacing/>
        <w:rPr>
          <w:rFonts w:cs="Arial"/>
          <w:color w:val="000000"/>
          <w:sz w:val="22"/>
          <w:szCs w:val="22"/>
          <w:lang w:eastAsia="en-US"/>
        </w:rPr>
      </w:pPr>
    </w:p>
    <w:p w14:paraId="741ED88F" w14:textId="77777777" w:rsidR="00A92DB4" w:rsidRPr="00E85A65" w:rsidRDefault="00A92DB4" w:rsidP="00A92DB4">
      <w:pPr>
        <w:numPr>
          <w:ilvl w:val="1"/>
          <w:numId w:val="6"/>
        </w:numPr>
        <w:spacing w:before="100" w:beforeAutospacing="1" w:after="100" w:afterAutospacing="1" w:line="259" w:lineRule="auto"/>
        <w:contextualSpacing/>
        <w:rPr>
          <w:rFonts w:cs="Arial"/>
          <w:color w:val="000000"/>
          <w:sz w:val="22"/>
          <w:szCs w:val="22"/>
          <w:lang w:eastAsia="en-US"/>
        </w:rPr>
      </w:pPr>
      <w:r w:rsidRPr="00E85A65">
        <w:rPr>
          <w:rFonts w:cs="Arial"/>
          <w:color w:val="000000"/>
          <w:sz w:val="22"/>
          <w:szCs w:val="22"/>
          <w:lang w:eastAsia="en-US"/>
        </w:rPr>
        <w:t xml:space="preserve">The overarching aim of the investment strategy was to create a long term, sustainable revenue stream for the Council and the portfolio has been successful in generating a rental income to the Council of circa £9 million over the last few years. That revenue stream supports the Council’s wider financial strategy to ensure financial sustainability and enable the Council to continue to protect front-line services and deliver its Corporate priorities. </w:t>
      </w:r>
    </w:p>
    <w:p w14:paraId="5E66DBBC" w14:textId="77777777" w:rsidR="00A92DB4" w:rsidRPr="00E85A65" w:rsidRDefault="00A92DB4" w:rsidP="00A92DB4">
      <w:pPr>
        <w:spacing w:before="100" w:beforeAutospacing="1" w:after="100" w:afterAutospacing="1" w:line="259" w:lineRule="auto"/>
        <w:contextualSpacing/>
        <w:rPr>
          <w:rFonts w:cs="Arial"/>
          <w:color w:val="000000"/>
          <w:sz w:val="22"/>
          <w:szCs w:val="22"/>
          <w:lang w:eastAsia="en-US"/>
        </w:rPr>
      </w:pPr>
    </w:p>
    <w:p w14:paraId="2B08A9D1" w14:textId="77777777" w:rsidR="00A92DB4" w:rsidRPr="00E85A65" w:rsidRDefault="00A92DB4" w:rsidP="00A92DB4">
      <w:pPr>
        <w:numPr>
          <w:ilvl w:val="1"/>
          <w:numId w:val="6"/>
        </w:numPr>
        <w:spacing w:before="100" w:beforeAutospacing="1" w:after="100" w:afterAutospacing="1" w:line="259" w:lineRule="auto"/>
        <w:contextualSpacing/>
        <w:rPr>
          <w:rFonts w:cs="Arial"/>
          <w:color w:val="000000"/>
          <w:sz w:val="22"/>
          <w:szCs w:val="22"/>
          <w:lang w:eastAsia="en-US"/>
        </w:rPr>
      </w:pPr>
      <w:r w:rsidRPr="00E85A65">
        <w:rPr>
          <w:rFonts w:cs="Arial"/>
          <w:color w:val="000000"/>
          <w:sz w:val="22"/>
          <w:szCs w:val="22"/>
          <w:lang w:eastAsia="en-US"/>
        </w:rPr>
        <w:t xml:space="preserve">The portfolio has been kept under regular review in line with the strategy, with a substantial review undertaken in 2019 and ongoing reviews throughout the pandemic in 2020 and 2021 via a Property Investment Board. This work has been led by a combination of in-house property professionals, external specialist expertise and senior officers, including key staff from property, legal and finance. </w:t>
      </w:r>
    </w:p>
    <w:p w14:paraId="06678DB2" w14:textId="77777777" w:rsidR="00A92DB4" w:rsidRPr="00E85A65" w:rsidRDefault="00A92DB4" w:rsidP="00A92DB4">
      <w:pPr>
        <w:spacing w:before="100" w:beforeAutospacing="1" w:after="100" w:afterAutospacing="1" w:line="259" w:lineRule="auto"/>
        <w:contextualSpacing/>
        <w:rPr>
          <w:rFonts w:cs="Arial"/>
          <w:color w:val="000000"/>
          <w:sz w:val="22"/>
          <w:szCs w:val="22"/>
          <w:lang w:eastAsia="en-US"/>
        </w:rPr>
      </w:pPr>
    </w:p>
    <w:p w14:paraId="4DB3A62D" w14:textId="77777777" w:rsidR="00A92DB4" w:rsidRPr="00E85A65" w:rsidRDefault="00A92DB4" w:rsidP="00A92DB4">
      <w:pPr>
        <w:numPr>
          <w:ilvl w:val="1"/>
          <w:numId w:val="6"/>
        </w:numPr>
        <w:spacing w:before="100" w:beforeAutospacing="1" w:after="100" w:afterAutospacing="1" w:line="259" w:lineRule="auto"/>
        <w:contextualSpacing/>
        <w:rPr>
          <w:rFonts w:cs="Arial"/>
          <w:color w:val="000000"/>
          <w:sz w:val="22"/>
          <w:szCs w:val="22"/>
          <w:lang w:eastAsia="en-US"/>
        </w:rPr>
      </w:pPr>
      <w:r w:rsidRPr="00E85A65">
        <w:rPr>
          <w:rFonts w:cs="Arial"/>
          <w:color w:val="000000"/>
          <w:sz w:val="22"/>
          <w:szCs w:val="22"/>
          <w:lang w:eastAsia="en-US"/>
        </w:rPr>
        <w:t>Much has changed since the Strategy was adopted in 2018 due to the major global events in recent years, which has resulted in significant and unpredictable changes to the national economic and fiscal climate and which in turn has had very real impacts on the commercial property market.</w:t>
      </w:r>
    </w:p>
    <w:p w14:paraId="7FFAF53E" w14:textId="77777777" w:rsidR="00A92DB4" w:rsidRPr="00E85A65" w:rsidRDefault="00A92DB4" w:rsidP="00A92DB4">
      <w:pPr>
        <w:spacing w:before="100" w:beforeAutospacing="1" w:after="100" w:afterAutospacing="1" w:line="259" w:lineRule="auto"/>
        <w:contextualSpacing/>
        <w:rPr>
          <w:rFonts w:cs="Arial"/>
          <w:color w:val="000000"/>
          <w:sz w:val="22"/>
          <w:szCs w:val="22"/>
          <w:lang w:eastAsia="en-US"/>
        </w:rPr>
      </w:pPr>
    </w:p>
    <w:p w14:paraId="599F571D" w14:textId="77777777" w:rsidR="00A92DB4" w:rsidRPr="00E85A65" w:rsidRDefault="00A92DB4" w:rsidP="00A92DB4">
      <w:pPr>
        <w:numPr>
          <w:ilvl w:val="1"/>
          <w:numId w:val="6"/>
        </w:numPr>
        <w:spacing w:before="100" w:beforeAutospacing="1" w:after="100" w:afterAutospacing="1" w:line="259" w:lineRule="auto"/>
        <w:contextualSpacing/>
        <w:rPr>
          <w:rFonts w:cs="Arial"/>
          <w:color w:val="000000"/>
          <w:sz w:val="22"/>
          <w:szCs w:val="22"/>
          <w:lang w:eastAsia="en-US"/>
        </w:rPr>
      </w:pPr>
      <w:r w:rsidRPr="00E85A65">
        <w:rPr>
          <w:rFonts w:cs="Arial"/>
          <w:color w:val="000000"/>
          <w:sz w:val="22"/>
          <w:szCs w:val="22"/>
          <w:lang w:eastAsia="en-US"/>
        </w:rPr>
        <w:t xml:space="preserve">Market fluctuations are always to be expected in line with national trends and reflect the significant exceptional external circumstances over the last few years. However, strong and active asset management has however meant the portfolio has maintained high occupancy (96%+) and generated significant income to date, with 98%+ rent collection for the pandemic period. </w:t>
      </w:r>
    </w:p>
    <w:p w14:paraId="50DDDCA9" w14:textId="77777777" w:rsidR="00A92DB4" w:rsidRPr="00E85A65" w:rsidRDefault="00A92DB4" w:rsidP="00A92DB4">
      <w:pPr>
        <w:spacing w:before="100" w:beforeAutospacing="1" w:after="100" w:afterAutospacing="1" w:line="259" w:lineRule="auto"/>
        <w:contextualSpacing/>
        <w:rPr>
          <w:rFonts w:cs="Arial"/>
          <w:color w:val="000000"/>
          <w:sz w:val="22"/>
          <w:szCs w:val="22"/>
          <w:lang w:eastAsia="en-US"/>
        </w:rPr>
      </w:pPr>
    </w:p>
    <w:p w14:paraId="6A671329" w14:textId="77777777" w:rsidR="00A92DB4" w:rsidRPr="00E85A65" w:rsidRDefault="00A92DB4" w:rsidP="00A92DB4">
      <w:pPr>
        <w:numPr>
          <w:ilvl w:val="1"/>
          <w:numId w:val="6"/>
        </w:numPr>
        <w:spacing w:before="100" w:beforeAutospacing="1" w:after="100" w:afterAutospacing="1" w:line="259" w:lineRule="auto"/>
        <w:contextualSpacing/>
        <w:rPr>
          <w:rFonts w:cs="Arial"/>
          <w:color w:val="000000"/>
          <w:sz w:val="22"/>
          <w:szCs w:val="22"/>
          <w:lang w:eastAsia="en-US"/>
        </w:rPr>
      </w:pPr>
      <w:r w:rsidRPr="00E85A65">
        <w:rPr>
          <w:rFonts w:cs="Arial"/>
          <w:color w:val="000000"/>
          <w:sz w:val="22"/>
          <w:szCs w:val="22"/>
          <w:lang w:eastAsia="en-US"/>
        </w:rPr>
        <w:t>Notwithstanding this, an investment portfolio always carries risk around market changes and lease events, which all needs to be robustly monitored and managed and as such, prudent and robust portfolio management remains critical going forward</w:t>
      </w:r>
    </w:p>
    <w:p w14:paraId="0F570EF3" w14:textId="77777777" w:rsidR="00A92DB4" w:rsidRPr="00E85A65" w:rsidRDefault="00A92DB4" w:rsidP="00A92DB4">
      <w:pPr>
        <w:spacing w:before="100" w:beforeAutospacing="1" w:after="100" w:afterAutospacing="1" w:line="259" w:lineRule="auto"/>
        <w:contextualSpacing/>
        <w:rPr>
          <w:rFonts w:cs="Arial"/>
          <w:color w:val="000000"/>
          <w:sz w:val="22"/>
          <w:szCs w:val="22"/>
          <w:lang w:eastAsia="en-US"/>
        </w:rPr>
      </w:pPr>
    </w:p>
    <w:p w14:paraId="19E527D8" w14:textId="77777777" w:rsidR="00A92DB4" w:rsidRPr="00E85A65" w:rsidRDefault="00A92DB4" w:rsidP="00A92DB4">
      <w:pPr>
        <w:numPr>
          <w:ilvl w:val="1"/>
          <w:numId w:val="6"/>
        </w:numPr>
        <w:spacing w:before="100" w:beforeAutospacing="1" w:after="100" w:afterAutospacing="1" w:line="259" w:lineRule="auto"/>
        <w:contextualSpacing/>
        <w:rPr>
          <w:rFonts w:cs="Arial"/>
          <w:color w:val="000000"/>
          <w:sz w:val="22"/>
          <w:szCs w:val="22"/>
          <w:lang w:eastAsia="en-US"/>
        </w:rPr>
      </w:pPr>
      <w:r w:rsidRPr="00E85A65">
        <w:rPr>
          <w:rFonts w:cs="Arial"/>
          <w:color w:val="000000"/>
          <w:sz w:val="22"/>
          <w:szCs w:val="22"/>
          <w:lang w:eastAsia="en-US"/>
        </w:rPr>
        <w:t xml:space="preserve">Further, in addition to economic and market fluctuations, the Government has also made changes to the rules and guidelines surrounding local authority borrowing and the way it funds and holds investments. They are working towards implementing changes to reduce and where appropriate, prevent Councils from investing in property primarily for commercial return. </w:t>
      </w:r>
    </w:p>
    <w:p w14:paraId="0736395A" w14:textId="77777777" w:rsidR="00A92DB4" w:rsidRPr="00E85A65" w:rsidRDefault="00A92DB4" w:rsidP="00A92DB4">
      <w:pPr>
        <w:spacing w:before="100" w:beforeAutospacing="1" w:after="100" w:afterAutospacing="1" w:line="259" w:lineRule="auto"/>
        <w:contextualSpacing/>
        <w:rPr>
          <w:rFonts w:cs="Arial"/>
          <w:color w:val="000000"/>
          <w:sz w:val="22"/>
          <w:szCs w:val="22"/>
          <w:lang w:eastAsia="en-US"/>
        </w:rPr>
      </w:pPr>
    </w:p>
    <w:p w14:paraId="4642E7CB" w14:textId="77777777" w:rsidR="00A92DB4" w:rsidRPr="00E85A65" w:rsidRDefault="00A92DB4" w:rsidP="00A92DB4">
      <w:pPr>
        <w:numPr>
          <w:ilvl w:val="1"/>
          <w:numId w:val="6"/>
        </w:numPr>
        <w:spacing w:before="100" w:beforeAutospacing="1" w:after="100" w:afterAutospacing="1" w:line="259" w:lineRule="auto"/>
        <w:contextualSpacing/>
        <w:rPr>
          <w:rFonts w:cs="Arial"/>
          <w:color w:val="000000"/>
          <w:sz w:val="22"/>
          <w:szCs w:val="22"/>
          <w:lang w:eastAsia="en-US"/>
        </w:rPr>
      </w:pPr>
      <w:r w:rsidRPr="00E85A65">
        <w:rPr>
          <w:rFonts w:cs="Arial"/>
          <w:color w:val="000000"/>
          <w:sz w:val="22"/>
          <w:szCs w:val="22"/>
          <w:lang w:eastAsia="en-US"/>
        </w:rPr>
        <w:t xml:space="preserve">As the Council is now no longer in a position to expand its commercial portfolio for yield, the current Commercial Property Investment Strategy is now no longer appropriate and as such it is proposed that this ceases at the end of 2022 as planned. </w:t>
      </w:r>
    </w:p>
    <w:p w14:paraId="0FC33622" w14:textId="77777777" w:rsidR="00A92DB4" w:rsidRPr="00E85A65" w:rsidRDefault="00A92DB4" w:rsidP="00A92DB4">
      <w:pPr>
        <w:spacing w:before="100" w:beforeAutospacing="1" w:after="100" w:afterAutospacing="1" w:line="259" w:lineRule="auto"/>
        <w:contextualSpacing/>
        <w:rPr>
          <w:rFonts w:cs="Arial"/>
          <w:color w:val="000000"/>
          <w:sz w:val="22"/>
          <w:szCs w:val="22"/>
          <w:lang w:eastAsia="en-US"/>
        </w:rPr>
      </w:pPr>
    </w:p>
    <w:p w14:paraId="4F007298" w14:textId="77777777" w:rsidR="00A92DB4" w:rsidRPr="00E85A65" w:rsidRDefault="00A92DB4" w:rsidP="00A92DB4">
      <w:pPr>
        <w:numPr>
          <w:ilvl w:val="1"/>
          <w:numId w:val="6"/>
        </w:numPr>
        <w:spacing w:before="100" w:beforeAutospacing="1" w:after="100" w:afterAutospacing="1" w:line="259" w:lineRule="auto"/>
        <w:contextualSpacing/>
        <w:rPr>
          <w:rFonts w:cs="Arial"/>
          <w:color w:val="000000"/>
          <w:sz w:val="22"/>
          <w:szCs w:val="22"/>
          <w:lang w:eastAsia="en-US"/>
        </w:rPr>
      </w:pPr>
      <w:r w:rsidRPr="00E85A65">
        <w:rPr>
          <w:rFonts w:cs="Arial"/>
          <w:color w:val="000000"/>
          <w:sz w:val="22"/>
          <w:szCs w:val="22"/>
          <w:lang w:eastAsia="en-US"/>
        </w:rPr>
        <w:t xml:space="preserve">The priority for the Council will be to continue to robustly and professionally manage its existing portfolio to ensure it continues to provide strong and reliable financial returns. As such, </w:t>
      </w:r>
      <w:r>
        <w:rPr>
          <w:rFonts w:cs="Arial"/>
          <w:color w:val="000000"/>
          <w:sz w:val="22"/>
          <w:szCs w:val="22"/>
          <w:lang w:eastAsia="en-US"/>
        </w:rPr>
        <w:t xml:space="preserve">a </w:t>
      </w:r>
      <w:r w:rsidRPr="00E85A65">
        <w:rPr>
          <w:rFonts w:cs="Arial"/>
          <w:color w:val="000000"/>
          <w:sz w:val="22"/>
          <w:szCs w:val="22"/>
          <w:lang w:eastAsia="en-US"/>
        </w:rPr>
        <w:t xml:space="preserve">new Asset Management Strategy </w:t>
      </w:r>
      <w:r>
        <w:rPr>
          <w:rFonts w:cs="Arial"/>
          <w:color w:val="000000"/>
          <w:sz w:val="22"/>
          <w:szCs w:val="22"/>
          <w:lang w:eastAsia="en-US"/>
        </w:rPr>
        <w:t xml:space="preserve">will </w:t>
      </w:r>
      <w:r w:rsidRPr="00E85A65">
        <w:rPr>
          <w:rFonts w:cs="Arial"/>
          <w:color w:val="000000"/>
          <w:sz w:val="22"/>
          <w:szCs w:val="22"/>
          <w:lang w:eastAsia="en-US"/>
        </w:rPr>
        <w:t xml:space="preserve">be developed to ensure a long-term optimised approach for the management of the Council’s assets </w:t>
      </w:r>
    </w:p>
    <w:p w14:paraId="5F390C8E" w14:textId="77777777" w:rsidR="00A92DB4" w:rsidRPr="00E85A65" w:rsidRDefault="00A92DB4" w:rsidP="00A92DB4">
      <w:pPr>
        <w:spacing w:before="100" w:beforeAutospacing="1" w:after="100" w:afterAutospacing="1" w:line="259" w:lineRule="auto"/>
        <w:contextualSpacing/>
        <w:rPr>
          <w:rFonts w:cs="Arial"/>
          <w:color w:val="000000"/>
          <w:sz w:val="22"/>
          <w:szCs w:val="22"/>
          <w:lang w:eastAsia="en-US"/>
        </w:rPr>
      </w:pPr>
    </w:p>
    <w:p w14:paraId="2AA38D89" w14:textId="77777777" w:rsidR="00A92DB4" w:rsidRPr="008C77A3" w:rsidRDefault="00A92DB4" w:rsidP="00A92DB4">
      <w:pPr>
        <w:numPr>
          <w:ilvl w:val="1"/>
          <w:numId w:val="6"/>
        </w:numPr>
        <w:spacing w:before="100" w:beforeAutospacing="1" w:after="100" w:afterAutospacing="1" w:line="259" w:lineRule="auto"/>
        <w:contextualSpacing/>
        <w:rPr>
          <w:rFonts w:cs="Arial"/>
          <w:color w:val="000000"/>
          <w:sz w:val="22"/>
          <w:szCs w:val="22"/>
          <w:lang w:eastAsia="en-US"/>
        </w:rPr>
      </w:pPr>
      <w:r w:rsidRPr="008C77A3">
        <w:rPr>
          <w:rFonts w:cs="Arial"/>
          <w:color w:val="000000"/>
          <w:sz w:val="22"/>
          <w:szCs w:val="22"/>
          <w:lang w:eastAsia="en-US"/>
        </w:rPr>
        <w:t xml:space="preserve">To support the new Asset Management Strategy, </w:t>
      </w:r>
      <w:r>
        <w:rPr>
          <w:rFonts w:cs="Arial"/>
          <w:color w:val="000000"/>
          <w:sz w:val="22"/>
          <w:szCs w:val="22"/>
          <w:lang w:eastAsia="en-US"/>
        </w:rPr>
        <w:t xml:space="preserve">governance, </w:t>
      </w:r>
      <w:r w:rsidRPr="008C77A3">
        <w:rPr>
          <w:rFonts w:cs="Arial"/>
          <w:color w:val="000000"/>
          <w:sz w:val="22"/>
          <w:szCs w:val="22"/>
          <w:lang w:eastAsia="en-US"/>
        </w:rPr>
        <w:t xml:space="preserve">resources and internal working arrangements </w:t>
      </w:r>
      <w:r>
        <w:rPr>
          <w:rFonts w:cs="Arial"/>
          <w:color w:val="000000"/>
          <w:sz w:val="22"/>
          <w:szCs w:val="22"/>
          <w:lang w:eastAsia="en-US"/>
        </w:rPr>
        <w:t xml:space="preserve">have been </w:t>
      </w:r>
      <w:r w:rsidRPr="008C77A3">
        <w:rPr>
          <w:rFonts w:cs="Arial"/>
          <w:color w:val="000000"/>
          <w:sz w:val="22"/>
          <w:szCs w:val="22"/>
          <w:lang w:eastAsia="en-US"/>
        </w:rPr>
        <w:t>reviewed</w:t>
      </w:r>
      <w:r>
        <w:rPr>
          <w:rFonts w:cs="Arial"/>
          <w:color w:val="000000"/>
          <w:sz w:val="22"/>
          <w:szCs w:val="22"/>
          <w:lang w:eastAsia="en-US"/>
        </w:rPr>
        <w:t xml:space="preserve">. </w:t>
      </w:r>
    </w:p>
    <w:p w14:paraId="5F799476" w14:textId="77777777" w:rsidR="00A92DB4" w:rsidRPr="008C77A3" w:rsidRDefault="00A92DB4" w:rsidP="00A92DB4">
      <w:pPr>
        <w:spacing w:before="100" w:beforeAutospacing="1" w:after="100" w:afterAutospacing="1" w:line="259" w:lineRule="auto"/>
        <w:contextualSpacing/>
        <w:rPr>
          <w:rFonts w:cs="Arial"/>
          <w:color w:val="000000"/>
          <w:sz w:val="22"/>
          <w:szCs w:val="22"/>
          <w:lang w:eastAsia="en-US"/>
        </w:rPr>
      </w:pPr>
      <w:r w:rsidRPr="00E85A65">
        <w:rPr>
          <w:rFonts w:cs="Arial"/>
          <w:color w:val="000000"/>
          <w:sz w:val="22"/>
          <w:szCs w:val="22"/>
          <w:lang w:eastAsia="en-US"/>
        </w:rPr>
        <w:t xml:space="preserve"> </w:t>
      </w:r>
    </w:p>
    <w:p w14:paraId="56416EF3" w14:textId="77777777" w:rsidR="00A92DB4" w:rsidRPr="003122A3" w:rsidRDefault="00A92DB4" w:rsidP="00A92DB4">
      <w:pPr>
        <w:numPr>
          <w:ilvl w:val="0"/>
          <w:numId w:val="6"/>
        </w:numPr>
        <w:rPr>
          <w:rFonts w:cs="Arial"/>
          <w:b/>
          <w:bCs/>
          <w:sz w:val="32"/>
          <w:szCs w:val="32"/>
        </w:rPr>
      </w:pPr>
      <w:r w:rsidRPr="003122A3">
        <w:rPr>
          <w:rFonts w:cs="Arial"/>
          <w:b/>
          <w:bCs/>
          <w:sz w:val="32"/>
          <w:szCs w:val="32"/>
        </w:rPr>
        <w:t>Asset Management Review Group Scope</w:t>
      </w:r>
    </w:p>
    <w:p w14:paraId="274A3253" w14:textId="77777777" w:rsidR="00A92DB4" w:rsidRDefault="00A92DB4" w:rsidP="00A92DB4">
      <w:pPr>
        <w:spacing w:before="100" w:beforeAutospacing="1" w:after="100" w:afterAutospacing="1" w:line="259" w:lineRule="auto"/>
        <w:contextualSpacing/>
        <w:rPr>
          <w:rFonts w:cs="Arial"/>
          <w:b/>
          <w:caps/>
          <w:szCs w:val="24"/>
        </w:rPr>
      </w:pPr>
    </w:p>
    <w:p w14:paraId="64797005" w14:textId="77777777" w:rsidR="00A92DB4" w:rsidRDefault="00A92DB4" w:rsidP="00A92DB4">
      <w:pPr>
        <w:numPr>
          <w:ilvl w:val="1"/>
          <w:numId w:val="6"/>
        </w:numPr>
        <w:spacing w:before="100" w:beforeAutospacing="1" w:after="100" w:afterAutospacing="1" w:line="259" w:lineRule="auto"/>
        <w:contextualSpacing/>
        <w:rPr>
          <w:rFonts w:cs="Arial"/>
          <w:color w:val="000000"/>
          <w:sz w:val="22"/>
          <w:szCs w:val="22"/>
          <w:lang w:eastAsia="en-US"/>
        </w:rPr>
      </w:pPr>
      <w:r w:rsidRPr="007B20C8">
        <w:rPr>
          <w:rFonts w:cs="Arial"/>
          <w:color w:val="000000"/>
          <w:sz w:val="22"/>
          <w:szCs w:val="22"/>
          <w:lang w:eastAsia="en-US"/>
        </w:rPr>
        <w:t>New governance and working arrangements to support</w:t>
      </w:r>
      <w:r>
        <w:rPr>
          <w:rFonts w:cs="Arial"/>
          <w:color w:val="000000"/>
          <w:sz w:val="22"/>
          <w:szCs w:val="22"/>
          <w:lang w:eastAsia="en-US"/>
        </w:rPr>
        <w:t xml:space="preserve"> and to assure compliance of </w:t>
      </w:r>
      <w:r w:rsidRPr="007B20C8">
        <w:rPr>
          <w:rFonts w:cs="Arial"/>
          <w:color w:val="000000"/>
          <w:sz w:val="22"/>
          <w:szCs w:val="22"/>
          <w:lang w:eastAsia="en-US"/>
        </w:rPr>
        <w:t xml:space="preserve">the revised approach are </w:t>
      </w:r>
      <w:r>
        <w:rPr>
          <w:rFonts w:cs="Arial"/>
          <w:color w:val="000000"/>
          <w:sz w:val="22"/>
          <w:szCs w:val="22"/>
          <w:lang w:eastAsia="en-US"/>
        </w:rPr>
        <w:t>set out</w:t>
      </w:r>
      <w:r w:rsidRPr="007B20C8">
        <w:rPr>
          <w:rFonts w:cs="Arial"/>
          <w:color w:val="000000"/>
          <w:sz w:val="22"/>
          <w:szCs w:val="22"/>
          <w:lang w:eastAsia="en-US"/>
        </w:rPr>
        <w:t xml:space="preserve"> within this document. </w:t>
      </w:r>
    </w:p>
    <w:p w14:paraId="21CB4FCD" w14:textId="77777777" w:rsidR="00A92DB4" w:rsidRDefault="00A92DB4" w:rsidP="00A92DB4">
      <w:pPr>
        <w:spacing w:before="100" w:beforeAutospacing="1" w:after="100" w:afterAutospacing="1" w:line="259" w:lineRule="auto"/>
        <w:contextualSpacing/>
        <w:rPr>
          <w:rFonts w:cs="Arial"/>
          <w:color w:val="000000"/>
          <w:sz w:val="22"/>
          <w:szCs w:val="22"/>
          <w:lang w:eastAsia="en-US"/>
        </w:rPr>
      </w:pPr>
    </w:p>
    <w:p w14:paraId="0FC1391A" w14:textId="77777777" w:rsidR="00A92DB4" w:rsidRPr="00146466" w:rsidRDefault="00A92DB4" w:rsidP="00A92DB4">
      <w:pPr>
        <w:numPr>
          <w:ilvl w:val="1"/>
          <w:numId w:val="6"/>
        </w:numPr>
        <w:spacing w:before="100" w:beforeAutospacing="1" w:after="100" w:afterAutospacing="1" w:line="259" w:lineRule="auto"/>
        <w:contextualSpacing/>
        <w:rPr>
          <w:rFonts w:cs="Arial"/>
          <w:color w:val="000000"/>
          <w:sz w:val="22"/>
          <w:szCs w:val="22"/>
          <w:lang w:eastAsia="en-US"/>
        </w:rPr>
      </w:pPr>
      <w:r w:rsidRPr="00146466">
        <w:rPr>
          <w:rFonts w:cs="Arial"/>
          <w:color w:val="000000"/>
          <w:sz w:val="22"/>
          <w:szCs w:val="22"/>
          <w:lang w:eastAsia="en-US"/>
        </w:rPr>
        <w:t>Decisions will be made in accordance with the constitution</w:t>
      </w:r>
      <w:r>
        <w:rPr>
          <w:rFonts w:cs="Arial"/>
          <w:color w:val="000000"/>
          <w:sz w:val="22"/>
          <w:szCs w:val="22"/>
          <w:lang w:eastAsia="en-US"/>
        </w:rPr>
        <w:t>,</w:t>
      </w:r>
      <w:r w:rsidRPr="00146466">
        <w:rPr>
          <w:rFonts w:cs="Arial"/>
          <w:color w:val="000000"/>
          <w:sz w:val="22"/>
          <w:szCs w:val="22"/>
          <w:lang w:eastAsia="en-US"/>
        </w:rPr>
        <w:t xml:space="preserve"> scheme of delegations</w:t>
      </w:r>
      <w:r>
        <w:rPr>
          <w:rFonts w:cs="Arial"/>
          <w:color w:val="000000"/>
          <w:sz w:val="22"/>
          <w:szCs w:val="22"/>
          <w:lang w:eastAsia="en-US"/>
        </w:rPr>
        <w:t xml:space="preserve"> and approved Asset Management Strategy</w:t>
      </w:r>
      <w:r w:rsidRPr="00146466">
        <w:rPr>
          <w:rFonts w:cs="Arial"/>
          <w:color w:val="000000"/>
          <w:sz w:val="22"/>
          <w:szCs w:val="22"/>
          <w:lang w:eastAsia="en-US"/>
        </w:rPr>
        <w:t>, supported by member oversight and scrutiny as appropriate. These arrangements will provide a robust framework in terms of authority and accountability as well as ensur</w:t>
      </w:r>
      <w:r>
        <w:rPr>
          <w:rFonts w:cs="Arial"/>
          <w:color w:val="000000"/>
          <w:sz w:val="22"/>
          <w:szCs w:val="22"/>
          <w:lang w:eastAsia="en-US"/>
        </w:rPr>
        <w:t>ing</w:t>
      </w:r>
      <w:r w:rsidRPr="00146466">
        <w:rPr>
          <w:rFonts w:cs="Arial"/>
          <w:color w:val="000000"/>
          <w:sz w:val="22"/>
          <w:szCs w:val="22"/>
          <w:lang w:eastAsia="en-US"/>
        </w:rPr>
        <w:t xml:space="preserve"> strong management around outputs, risks and performance. </w:t>
      </w:r>
    </w:p>
    <w:p w14:paraId="02B854D2" w14:textId="77777777" w:rsidR="00A92DB4" w:rsidRPr="008C77A3" w:rsidRDefault="00A92DB4" w:rsidP="00A92DB4">
      <w:pPr>
        <w:spacing w:before="100" w:beforeAutospacing="1" w:after="100" w:afterAutospacing="1" w:line="259" w:lineRule="auto"/>
        <w:ind w:left="720"/>
        <w:contextualSpacing/>
        <w:rPr>
          <w:rFonts w:cs="Arial"/>
          <w:color w:val="000000"/>
          <w:sz w:val="22"/>
          <w:szCs w:val="22"/>
          <w:lang w:eastAsia="en-US"/>
        </w:rPr>
      </w:pPr>
    </w:p>
    <w:p w14:paraId="749A9C81" w14:textId="77777777" w:rsidR="00A92DB4" w:rsidRPr="00B406AD" w:rsidRDefault="00A92DB4" w:rsidP="00A92DB4">
      <w:pPr>
        <w:numPr>
          <w:ilvl w:val="1"/>
          <w:numId w:val="6"/>
        </w:numPr>
        <w:spacing w:before="100" w:beforeAutospacing="1" w:after="100" w:afterAutospacing="1" w:line="259" w:lineRule="auto"/>
        <w:contextualSpacing/>
        <w:rPr>
          <w:rFonts w:cs="Arial"/>
          <w:bCs/>
          <w:sz w:val="22"/>
          <w:szCs w:val="22"/>
          <w:lang w:eastAsia="en-US"/>
        </w:rPr>
      </w:pPr>
      <w:r w:rsidRPr="003122A3">
        <w:rPr>
          <w:rFonts w:cs="Arial"/>
          <w:color w:val="000000"/>
          <w:sz w:val="22"/>
          <w:szCs w:val="22"/>
          <w:lang w:eastAsia="en-US"/>
        </w:rPr>
        <w:t>Scope:</w:t>
      </w:r>
      <w:r w:rsidRPr="003122A3">
        <w:rPr>
          <w:rFonts w:cs="Arial"/>
          <w:color w:val="000000"/>
          <w:sz w:val="22"/>
          <w:szCs w:val="22"/>
          <w:lang w:eastAsia="en-US"/>
        </w:rPr>
        <w:br/>
      </w:r>
    </w:p>
    <w:p w14:paraId="6A73051D" w14:textId="77777777" w:rsidR="00A92DB4" w:rsidRDefault="00A92DB4" w:rsidP="00A92DB4">
      <w:pPr>
        <w:numPr>
          <w:ilvl w:val="0"/>
          <w:numId w:val="3"/>
        </w:numPr>
        <w:ind w:left="1080"/>
        <w:rPr>
          <w:rFonts w:cs="Arial"/>
          <w:sz w:val="22"/>
          <w:szCs w:val="22"/>
          <w:lang w:eastAsia="en-US"/>
        </w:rPr>
      </w:pPr>
      <w:r>
        <w:rPr>
          <w:rFonts w:cs="Arial"/>
          <w:sz w:val="22"/>
          <w:szCs w:val="22"/>
          <w:lang w:eastAsia="en-US"/>
        </w:rPr>
        <w:t>Implement and support new</w:t>
      </w:r>
      <w:r w:rsidRPr="00804B5D">
        <w:rPr>
          <w:rFonts w:cs="Arial"/>
          <w:sz w:val="22"/>
          <w:szCs w:val="22"/>
          <w:lang w:eastAsia="en-US"/>
        </w:rPr>
        <w:t xml:space="preserve"> governance arrangements</w:t>
      </w:r>
    </w:p>
    <w:p w14:paraId="59980ADE" w14:textId="77777777" w:rsidR="00A92DB4" w:rsidRDefault="00A92DB4" w:rsidP="00A92DB4">
      <w:pPr>
        <w:ind w:left="360"/>
        <w:rPr>
          <w:rFonts w:cs="Arial"/>
          <w:sz w:val="22"/>
          <w:szCs w:val="22"/>
          <w:lang w:eastAsia="en-US"/>
        </w:rPr>
      </w:pPr>
    </w:p>
    <w:p w14:paraId="38E5BE9D" w14:textId="77777777" w:rsidR="00A92DB4" w:rsidRDefault="00A92DB4" w:rsidP="00A92DB4">
      <w:pPr>
        <w:numPr>
          <w:ilvl w:val="0"/>
          <w:numId w:val="3"/>
        </w:numPr>
        <w:ind w:left="1080"/>
        <w:rPr>
          <w:rFonts w:cs="Arial"/>
          <w:sz w:val="22"/>
          <w:szCs w:val="22"/>
          <w:lang w:eastAsia="en-US"/>
        </w:rPr>
      </w:pPr>
      <w:r>
        <w:rPr>
          <w:rFonts w:cs="Arial"/>
          <w:sz w:val="22"/>
          <w:szCs w:val="22"/>
          <w:lang w:eastAsia="en-US"/>
        </w:rPr>
        <w:t>Manage and mitigate (where possible) asset investment related risk</w:t>
      </w:r>
    </w:p>
    <w:p w14:paraId="60CE7050" w14:textId="77777777" w:rsidR="00A92DB4" w:rsidRDefault="00A92DB4" w:rsidP="00A92DB4">
      <w:pPr>
        <w:pStyle w:val="ListParagraph"/>
        <w:rPr>
          <w:rFonts w:cs="Arial"/>
          <w:sz w:val="22"/>
          <w:szCs w:val="22"/>
          <w:lang w:eastAsia="en-US"/>
        </w:rPr>
      </w:pPr>
    </w:p>
    <w:p w14:paraId="6AB7A0C0" w14:textId="77777777" w:rsidR="00A92DB4" w:rsidRPr="00804B5D" w:rsidRDefault="00A92DB4" w:rsidP="00A92DB4">
      <w:pPr>
        <w:numPr>
          <w:ilvl w:val="0"/>
          <w:numId w:val="3"/>
        </w:numPr>
        <w:ind w:left="1080"/>
        <w:rPr>
          <w:rFonts w:cs="Arial"/>
          <w:sz w:val="22"/>
          <w:szCs w:val="22"/>
          <w:lang w:eastAsia="en-US"/>
        </w:rPr>
      </w:pPr>
      <w:r>
        <w:rPr>
          <w:rFonts w:cs="Arial"/>
          <w:sz w:val="22"/>
          <w:szCs w:val="22"/>
          <w:lang w:eastAsia="en-US"/>
        </w:rPr>
        <w:t>Review Asset Management Strategy in line with decision making at AMRG</w:t>
      </w:r>
    </w:p>
    <w:p w14:paraId="219ED0F9" w14:textId="77777777" w:rsidR="00A92DB4" w:rsidRPr="00804B5D" w:rsidRDefault="00A92DB4" w:rsidP="00A92DB4">
      <w:pPr>
        <w:ind w:left="1080"/>
        <w:rPr>
          <w:rFonts w:cs="Arial"/>
          <w:sz w:val="22"/>
          <w:szCs w:val="22"/>
          <w:lang w:eastAsia="en-US"/>
        </w:rPr>
      </w:pPr>
    </w:p>
    <w:p w14:paraId="64C3B786" w14:textId="77777777" w:rsidR="00A92DB4" w:rsidRPr="005A412D" w:rsidRDefault="00A92DB4" w:rsidP="00A92DB4">
      <w:pPr>
        <w:numPr>
          <w:ilvl w:val="0"/>
          <w:numId w:val="3"/>
        </w:numPr>
        <w:ind w:left="1080"/>
        <w:rPr>
          <w:rFonts w:cs="Arial"/>
          <w:sz w:val="22"/>
          <w:szCs w:val="22"/>
          <w:lang w:eastAsia="en-US"/>
        </w:rPr>
      </w:pPr>
      <w:r w:rsidRPr="00804B5D">
        <w:rPr>
          <w:rFonts w:cs="Arial"/>
          <w:sz w:val="22"/>
          <w:szCs w:val="22"/>
          <w:lang w:eastAsia="en-US"/>
        </w:rPr>
        <w:t xml:space="preserve">Produce </w:t>
      </w:r>
      <w:r>
        <w:rPr>
          <w:rFonts w:cs="Arial"/>
          <w:sz w:val="22"/>
          <w:szCs w:val="22"/>
          <w:lang w:eastAsia="en-US"/>
        </w:rPr>
        <w:t xml:space="preserve">and monitor a </w:t>
      </w:r>
      <w:r w:rsidRPr="00804B5D">
        <w:rPr>
          <w:rFonts w:cs="Arial"/>
          <w:sz w:val="22"/>
          <w:szCs w:val="22"/>
          <w:lang w:eastAsia="en-US"/>
        </w:rPr>
        <w:t>high-level Programme schedule for immediate,</w:t>
      </w:r>
      <w:r>
        <w:rPr>
          <w:rFonts w:cs="Arial"/>
          <w:sz w:val="22"/>
          <w:szCs w:val="22"/>
          <w:lang w:eastAsia="en-US"/>
        </w:rPr>
        <w:t xml:space="preserve"> </w:t>
      </w:r>
      <w:r w:rsidRPr="00804B5D">
        <w:rPr>
          <w:rFonts w:cs="Arial"/>
          <w:sz w:val="22"/>
          <w:szCs w:val="22"/>
          <w:lang w:eastAsia="en-US"/>
        </w:rPr>
        <w:t xml:space="preserve">medium and long term horizon planning </w:t>
      </w:r>
    </w:p>
    <w:p w14:paraId="43646C11" w14:textId="77777777" w:rsidR="00A92DB4" w:rsidRDefault="00A92DB4" w:rsidP="00A92DB4">
      <w:pPr>
        <w:pStyle w:val="ListParagraph"/>
        <w:ind w:left="1080"/>
        <w:rPr>
          <w:rFonts w:cs="Arial"/>
          <w:sz w:val="22"/>
          <w:szCs w:val="22"/>
          <w:lang w:eastAsia="en-US"/>
        </w:rPr>
      </w:pPr>
    </w:p>
    <w:p w14:paraId="7E92A096" w14:textId="77777777" w:rsidR="00A92DB4" w:rsidRPr="00804B5D" w:rsidRDefault="00A92DB4" w:rsidP="00A92DB4">
      <w:pPr>
        <w:numPr>
          <w:ilvl w:val="0"/>
          <w:numId w:val="3"/>
        </w:numPr>
        <w:ind w:left="1080"/>
        <w:rPr>
          <w:rFonts w:cs="Arial"/>
          <w:sz w:val="22"/>
          <w:szCs w:val="22"/>
          <w:lang w:eastAsia="en-US"/>
        </w:rPr>
      </w:pPr>
      <w:r w:rsidRPr="00804B5D">
        <w:rPr>
          <w:rFonts w:cs="Arial"/>
          <w:sz w:val="22"/>
          <w:szCs w:val="22"/>
          <w:lang w:eastAsia="en-US"/>
        </w:rPr>
        <w:t xml:space="preserve">Produce </w:t>
      </w:r>
      <w:r>
        <w:rPr>
          <w:rFonts w:cs="Arial"/>
          <w:sz w:val="22"/>
          <w:szCs w:val="22"/>
          <w:lang w:eastAsia="en-US"/>
        </w:rPr>
        <w:t xml:space="preserve">and monitor a </w:t>
      </w:r>
      <w:r w:rsidRPr="00804B5D">
        <w:rPr>
          <w:rFonts w:cs="Arial"/>
          <w:sz w:val="22"/>
          <w:szCs w:val="22"/>
          <w:lang w:eastAsia="en-US"/>
        </w:rPr>
        <w:t xml:space="preserve">high-level Delivery Plan for work required </w:t>
      </w:r>
    </w:p>
    <w:p w14:paraId="5A27A795" w14:textId="77777777" w:rsidR="00A92DB4" w:rsidRPr="00804B5D" w:rsidRDefault="00A92DB4" w:rsidP="00A92DB4">
      <w:pPr>
        <w:ind w:left="360"/>
        <w:rPr>
          <w:rFonts w:cs="Arial"/>
          <w:sz w:val="22"/>
          <w:szCs w:val="22"/>
          <w:lang w:eastAsia="en-US"/>
        </w:rPr>
      </w:pPr>
    </w:p>
    <w:p w14:paraId="3E54DA2B" w14:textId="77777777" w:rsidR="00A92DB4" w:rsidRPr="00804B5D" w:rsidRDefault="00A92DB4" w:rsidP="00A92DB4">
      <w:pPr>
        <w:numPr>
          <w:ilvl w:val="0"/>
          <w:numId w:val="3"/>
        </w:numPr>
        <w:ind w:left="1080"/>
        <w:rPr>
          <w:rFonts w:cs="Arial"/>
          <w:sz w:val="22"/>
          <w:szCs w:val="22"/>
          <w:lang w:eastAsia="en-US"/>
        </w:rPr>
      </w:pPr>
      <w:r w:rsidRPr="00804B5D">
        <w:rPr>
          <w:rFonts w:cs="Arial"/>
          <w:sz w:val="22"/>
          <w:szCs w:val="22"/>
          <w:lang w:eastAsia="en-US"/>
        </w:rPr>
        <w:t xml:space="preserve">Define </w:t>
      </w:r>
      <w:r>
        <w:rPr>
          <w:rFonts w:cs="Arial"/>
          <w:sz w:val="22"/>
          <w:szCs w:val="22"/>
          <w:lang w:eastAsia="en-US"/>
        </w:rPr>
        <w:t xml:space="preserve">and agree </w:t>
      </w:r>
      <w:r w:rsidRPr="00804B5D">
        <w:rPr>
          <w:rFonts w:cs="Arial"/>
          <w:sz w:val="22"/>
          <w:szCs w:val="22"/>
          <w:lang w:eastAsia="en-US"/>
        </w:rPr>
        <w:t xml:space="preserve">roles and responsibilities and the nature of the relationships of all </w:t>
      </w:r>
      <w:r>
        <w:rPr>
          <w:rFonts w:cs="Arial"/>
          <w:sz w:val="22"/>
          <w:szCs w:val="22"/>
          <w:lang w:eastAsia="en-US"/>
        </w:rPr>
        <w:t>members and related service areas</w:t>
      </w:r>
    </w:p>
    <w:p w14:paraId="584271B2" w14:textId="77777777" w:rsidR="00A92DB4" w:rsidRPr="00804B5D" w:rsidRDefault="00A92DB4" w:rsidP="00A92DB4">
      <w:pPr>
        <w:pStyle w:val="ListParagraph"/>
        <w:ind w:left="1080"/>
        <w:rPr>
          <w:rFonts w:cs="Arial"/>
          <w:sz w:val="22"/>
          <w:szCs w:val="22"/>
          <w:lang w:eastAsia="en-US"/>
        </w:rPr>
      </w:pPr>
    </w:p>
    <w:p w14:paraId="08109DD9" w14:textId="77777777" w:rsidR="00A92DB4" w:rsidRDefault="00A92DB4" w:rsidP="00A92DB4">
      <w:pPr>
        <w:numPr>
          <w:ilvl w:val="0"/>
          <w:numId w:val="3"/>
        </w:numPr>
        <w:ind w:left="1080"/>
        <w:rPr>
          <w:rFonts w:cs="Arial"/>
          <w:sz w:val="22"/>
          <w:szCs w:val="22"/>
          <w:lang w:eastAsia="en-US"/>
        </w:rPr>
      </w:pPr>
      <w:r w:rsidRPr="00804B5D">
        <w:rPr>
          <w:rFonts w:cs="Arial"/>
          <w:sz w:val="22"/>
          <w:szCs w:val="22"/>
          <w:lang w:eastAsia="en-US"/>
        </w:rPr>
        <w:t xml:space="preserve">Report current </w:t>
      </w:r>
      <w:r>
        <w:rPr>
          <w:rFonts w:cs="Arial"/>
          <w:sz w:val="22"/>
          <w:szCs w:val="22"/>
          <w:lang w:eastAsia="en-US"/>
        </w:rPr>
        <w:t xml:space="preserve">and forecast </w:t>
      </w:r>
      <w:r w:rsidRPr="00804B5D">
        <w:rPr>
          <w:rFonts w:cs="Arial"/>
          <w:sz w:val="22"/>
          <w:szCs w:val="22"/>
          <w:lang w:eastAsia="en-US"/>
        </w:rPr>
        <w:t>status of Property Asset Portfolio at regular monthly meetings</w:t>
      </w:r>
      <w:r>
        <w:rPr>
          <w:rFonts w:cs="Arial"/>
          <w:sz w:val="22"/>
          <w:szCs w:val="22"/>
          <w:lang w:eastAsia="en-US"/>
        </w:rPr>
        <w:t xml:space="preserve"> to include:</w:t>
      </w:r>
    </w:p>
    <w:p w14:paraId="00843BB1" w14:textId="77777777" w:rsidR="00A92DB4" w:rsidRDefault="00A92DB4" w:rsidP="00A92DB4">
      <w:pPr>
        <w:pStyle w:val="ListParagraph"/>
        <w:rPr>
          <w:rFonts w:cs="Arial"/>
          <w:sz w:val="22"/>
          <w:szCs w:val="22"/>
          <w:lang w:eastAsia="en-US"/>
        </w:rPr>
      </w:pPr>
    </w:p>
    <w:p w14:paraId="6BF2AF11" w14:textId="77777777" w:rsidR="00A92DB4" w:rsidRDefault="00A92DB4" w:rsidP="00A92DB4">
      <w:pPr>
        <w:ind w:left="1080"/>
        <w:rPr>
          <w:rFonts w:cs="Arial"/>
          <w:sz w:val="22"/>
          <w:szCs w:val="22"/>
          <w:lang w:eastAsia="en-US"/>
        </w:rPr>
      </w:pPr>
    </w:p>
    <w:p w14:paraId="5833211A" w14:textId="77777777" w:rsidR="00A92DB4" w:rsidRPr="00804B5D" w:rsidRDefault="00A92DB4" w:rsidP="00A92DB4">
      <w:pPr>
        <w:numPr>
          <w:ilvl w:val="1"/>
          <w:numId w:val="3"/>
        </w:numPr>
        <w:spacing w:before="100" w:beforeAutospacing="1" w:after="100" w:afterAutospacing="1" w:line="259" w:lineRule="auto"/>
        <w:contextualSpacing/>
        <w:rPr>
          <w:rFonts w:cs="Arial"/>
          <w:color w:val="000000"/>
          <w:sz w:val="22"/>
          <w:szCs w:val="22"/>
          <w:lang w:eastAsia="en-US"/>
        </w:rPr>
      </w:pPr>
      <w:r w:rsidRPr="00804B5D">
        <w:rPr>
          <w:rFonts w:cs="Arial"/>
          <w:color w:val="000000"/>
          <w:sz w:val="22"/>
          <w:szCs w:val="22"/>
          <w:lang w:eastAsia="en-US"/>
        </w:rPr>
        <w:t>Key investment data</w:t>
      </w:r>
    </w:p>
    <w:p w14:paraId="3C89C67A" w14:textId="77777777" w:rsidR="00A92DB4" w:rsidRDefault="00A92DB4" w:rsidP="00A92DB4">
      <w:pPr>
        <w:numPr>
          <w:ilvl w:val="1"/>
          <w:numId w:val="3"/>
        </w:numPr>
        <w:spacing w:before="100" w:beforeAutospacing="1" w:after="100" w:afterAutospacing="1" w:line="259" w:lineRule="auto"/>
        <w:contextualSpacing/>
        <w:rPr>
          <w:rFonts w:cs="Arial"/>
          <w:color w:val="000000"/>
          <w:sz w:val="22"/>
          <w:szCs w:val="22"/>
          <w:lang w:eastAsia="en-US"/>
        </w:rPr>
      </w:pPr>
      <w:r w:rsidRPr="00804B5D">
        <w:rPr>
          <w:rFonts w:cs="Arial"/>
          <w:color w:val="000000"/>
          <w:sz w:val="22"/>
          <w:szCs w:val="22"/>
          <w:lang w:eastAsia="en-US"/>
        </w:rPr>
        <w:t>EHDC Financial data</w:t>
      </w:r>
      <w:r>
        <w:rPr>
          <w:rFonts w:cs="Arial"/>
          <w:color w:val="000000"/>
          <w:sz w:val="22"/>
          <w:szCs w:val="22"/>
          <w:lang w:eastAsia="en-US"/>
        </w:rPr>
        <w:t xml:space="preserve"> </w:t>
      </w:r>
    </w:p>
    <w:p w14:paraId="0C8FFC9B" w14:textId="77777777" w:rsidR="00A92DB4" w:rsidRDefault="00A92DB4" w:rsidP="00A92DB4">
      <w:pPr>
        <w:numPr>
          <w:ilvl w:val="1"/>
          <w:numId w:val="3"/>
        </w:numPr>
        <w:spacing w:before="100" w:beforeAutospacing="1" w:after="100" w:afterAutospacing="1" w:line="259" w:lineRule="auto"/>
        <w:contextualSpacing/>
        <w:rPr>
          <w:rFonts w:cs="Arial"/>
          <w:color w:val="000000"/>
          <w:sz w:val="22"/>
          <w:szCs w:val="22"/>
          <w:lang w:eastAsia="en-US"/>
        </w:rPr>
      </w:pPr>
      <w:r>
        <w:rPr>
          <w:rFonts w:cs="Arial"/>
          <w:color w:val="000000"/>
          <w:sz w:val="22"/>
          <w:szCs w:val="22"/>
          <w:lang w:eastAsia="en-US"/>
        </w:rPr>
        <w:t>Alignment with EHDC Mid Term Financial review</w:t>
      </w:r>
    </w:p>
    <w:p w14:paraId="0ADA8853" w14:textId="77777777" w:rsidR="00A92DB4" w:rsidRDefault="00A92DB4" w:rsidP="00A92DB4">
      <w:pPr>
        <w:numPr>
          <w:ilvl w:val="1"/>
          <w:numId w:val="3"/>
        </w:numPr>
        <w:spacing w:before="100" w:beforeAutospacing="1" w:after="100" w:afterAutospacing="1" w:line="259" w:lineRule="auto"/>
        <w:contextualSpacing/>
        <w:rPr>
          <w:rFonts w:cs="Arial"/>
          <w:color w:val="000000"/>
          <w:sz w:val="22"/>
          <w:szCs w:val="22"/>
          <w:lang w:eastAsia="en-US"/>
        </w:rPr>
      </w:pPr>
      <w:r>
        <w:rPr>
          <w:rFonts w:cs="Arial"/>
          <w:color w:val="000000"/>
          <w:sz w:val="22"/>
          <w:szCs w:val="22"/>
          <w:lang w:eastAsia="en-US"/>
        </w:rPr>
        <w:t>Alignment with Government recommendations and direction</w:t>
      </w:r>
    </w:p>
    <w:p w14:paraId="7CAC8C99" w14:textId="77777777" w:rsidR="00A92DB4" w:rsidRPr="00804B5D" w:rsidRDefault="00A92DB4" w:rsidP="00A92DB4">
      <w:pPr>
        <w:numPr>
          <w:ilvl w:val="1"/>
          <w:numId w:val="3"/>
        </w:numPr>
        <w:spacing w:before="100" w:beforeAutospacing="1" w:after="100" w:afterAutospacing="1" w:line="259" w:lineRule="auto"/>
        <w:contextualSpacing/>
        <w:rPr>
          <w:rFonts w:cs="Arial"/>
          <w:color w:val="000000"/>
          <w:sz w:val="22"/>
          <w:szCs w:val="22"/>
          <w:lang w:eastAsia="en-US"/>
        </w:rPr>
      </w:pPr>
      <w:r>
        <w:rPr>
          <w:rFonts w:cs="Arial"/>
          <w:color w:val="000000"/>
          <w:sz w:val="22"/>
          <w:szCs w:val="22"/>
          <w:lang w:eastAsia="en-US"/>
        </w:rPr>
        <w:t xml:space="preserve">Alignment with wider Council teams and services with Asset interests </w:t>
      </w:r>
    </w:p>
    <w:p w14:paraId="029ACF7C" w14:textId="77777777" w:rsidR="00A92DB4" w:rsidRDefault="00A92DB4" w:rsidP="00A92DB4">
      <w:pPr>
        <w:numPr>
          <w:ilvl w:val="1"/>
          <w:numId w:val="3"/>
        </w:numPr>
        <w:spacing w:before="100" w:beforeAutospacing="1" w:after="100" w:afterAutospacing="1" w:line="259" w:lineRule="auto"/>
        <w:contextualSpacing/>
        <w:rPr>
          <w:rFonts w:cs="Arial"/>
          <w:color w:val="000000"/>
          <w:sz w:val="22"/>
          <w:szCs w:val="22"/>
          <w:lang w:eastAsia="en-US"/>
        </w:rPr>
      </w:pPr>
      <w:r w:rsidRPr="00804B5D">
        <w:rPr>
          <w:rFonts w:cs="Arial"/>
          <w:color w:val="000000"/>
          <w:sz w:val="22"/>
          <w:szCs w:val="22"/>
          <w:lang w:eastAsia="en-US"/>
        </w:rPr>
        <w:t>EHDC Strategic Financial status and approach to future investment</w:t>
      </w:r>
    </w:p>
    <w:p w14:paraId="08166BF1" w14:textId="77777777" w:rsidR="00A92DB4" w:rsidRPr="00804B5D" w:rsidRDefault="00A92DB4" w:rsidP="00A92DB4">
      <w:pPr>
        <w:numPr>
          <w:ilvl w:val="1"/>
          <w:numId w:val="3"/>
        </w:numPr>
        <w:spacing w:before="100" w:beforeAutospacing="1" w:after="100" w:afterAutospacing="1" w:line="259" w:lineRule="auto"/>
        <w:contextualSpacing/>
        <w:rPr>
          <w:rFonts w:cs="Arial"/>
          <w:color w:val="000000"/>
          <w:sz w:val="22"/>
          <w:szCs w:val="22"/>
          <w:lang w:eastAsia="en-US"/>
        </w:rPr>
      </w:pPr>
      <w:r>
        <w:rPr>
          <w:rFonts w:cs="Arial"/>
          <w:color w:val="000000"/>
          <w:sz w:val="22"/>
          <w:szCs w:val="22"/>
          <w:lang w:eastAsia="en-US"/>
        </w:rPr>
        <w:t>Debt profile – borrowing against debt waterfall</w:t>
      </w:r>
    </w:p>
    <w:p w14:paraId="5F37B041" w14:textId="77777777" w:rsidR="00A92DB4" w:rsidRPr="00804B5D" w:rsidRDefault="00A92DB4" w:rsidP="00A92DB4">
      <w:pPr>
        <w:numPr>
          <w:ilvl w:val="1"/>
          <w:numId w:val="3"/>
        </w:numPr>
        <w:spacing w:before="100" w:beforeAutospacing="1" w:after="100" w:afterAutospacing="1" w:line="259" w:lineRule="auto"/>
        <w:contextualSpacing/>
        <w:rPr>
          <w:rFonts w:cs="Arial"/>
          <w:color w:val="000000"/>
          <w:sz w:val="22"/>
          <w:szCs w:val="22"/>
          <w:lang w:eastAsia="en-US"/>
        </w:rPr>
      </w:pPr>
      <w:r>
        <w:rPr>
          <w:rFonts w:cs="Arial"/>
          <w:color w:val="000000"/>
          <w:sz w:val="22"/>
          <w:szCs w:val="22"/>
          <w:lang w:eastAsia="en-US"/>
        </w:rPr>
        <w:t>Financial and Market data F</w:t>
      </w:r>
      <w:r w:rsidRPr="00804B5D">
        <w:rPr>
          <w:rFonts w:cs="Arial"/>
          <w:color w:val="000000"/>
          <w:sz w:val="22"/>
          <w:szCs w:val="22"/>
          <w:lang w:eastAsia="en-US"/>
        </w:rPr>
        <w:t>orecasting</w:t>
      </w:r>
    </w:p>
    <w:p w14:paraId="767184D1" w14:textId="77777777" w:rsidR="00A92DB4" w:rsidRPr="00804B5D" w:rsidRDefault="00A92DB4" w:rsidP="00A92DB4">
      <w:pPr>
        <w:numPr>
          <w:ilvl w:val="1"/>
          <w:numId w:val="3"/>
        </w:numPr>
        <w:spacing w:before="100" w:beforeAutospacing="1" w:after="100" w:afterAutospacing="1" w:line="259" w:lineRule="auto"/>
        <w:contextualSpacing/>
        <w:rPr>
          <w:rFonts w:cs="Arial"/>
          <w:color w:val="000000"/>
          <w:sz w:val="22"/>
          <w:szCs w:val="22"/>
          <w:lang w:eastAsia="en-US"/>
        </w:rPr>
      </w:pPr>
      <w:r w:rsidRPr="00804B5D">
        <w:rPr>
          <w:rFonts w:cs="Arial"/>
          <w:color w:val="000000"/>
          <w:sz w:val="22"/>
          <w:szCs w:val="22"/>
          <w:lang w:eastAsia="en-US"/>
        </w:rPr>
        <w:t>Issues</w:t>
      </w:r>
    </w:p>
    <w:p w14:paraId="7C014753" w14:textId="77777777" w:rsidR="00A92DB4" w:rsidRPr="00804B5D" w:rsidRDefault="00A92DB4" w:rsidP="00A92DB4">
      <w:pPr>
        <w:numPr>
          <w:ilvl w:val="1"/>
          <w:numId w:val="3"/>
        </w:numPr>
        <w:spacing w:before="100" w:beforeAutospacing="1" w:after="100" w:afterAutospacing="1" w:line="259" w:lineRule="auto"/>
        <w:contextualSpacing/>
        <w:rPr>
          <w:rFonts w:cs="Arial"/>
          <w:color w:val="000000"/>
          <w:sz w:val="22"/>
          <w:szCs w:val="22"/>
          <w:lang w:eastAsia="en-US"/>
        </w:rPr>
      </w:pPr>
      <w:r w:rsidRPr="00804B5D">
        <w:rPr>
          <w:rFonts w:cs="Arial"/>
          <w:color w:val="000000"/>
          <w:sz w:val="22"/>
          <w:szCs w:val="22"/>
          <w:lang w:eastAsia="en-US"/>
        </w:rPr>
        <w:t>Risks</w:t>
      </w:r>
    </w:p>
    <w:p w14:paraId="581A2FAA" w14:textId="77777777" w:rsidR="00A92DB4" w:rsidRDefault="00A92DB4" w:rsidP="00A92DB4">
      <w:pPr>
        <w:numPr>
          <w:ilvl w:val="1"/>
          <w:numId w:val="3"/>
        </w:numPr>
        <w:spacing w:before="100" w:beforeAutospacing="1" w:after="100" w:afterAutospacing="1" w:line="259" w:lineRule="auto"/>
        <w:contextualSpacing/>
        <w:rPr>
          <w:rFonts w:cs="Arial"/>
          <w:color w:val="000000"/>
          <w:sz w:val="22"/>
          <w:szCs w:val="22"/>
          <w:lang w:eastAsia="en-US"/>
        </w:rPr>
      </w:pPr>
      <w:r>
        <w:rPr>
          <w:rFonts w:cs="Arial"/>
          <w:color w:val="000000"/>
          <w:sz w:val="22"/>
          <w:szCs w:val="22"/>
          <w:lang w:eastAsia="en-US"/>
        </w:rPr>
        <w:t>M</w:t>
      </w:r>
      <w:r w:rsidRPr="00804B5D">
        <w:rPr>
          <w:rFonts w:cs="Arial"/>
          <w:color w:val="000000"/>
          <w:sz w:val="22"/>
          <w:szCs w:val="22"/>
          <w:lang w:eastAsia="en-US"/>
        </w:rPr>
        <w:t>itigative actions</w:t>
      </w:r>
    </w:p>
    <w:p w14:paraId="7FA377FA" w14:textId="77777777" w:rsidR="00A92DB4" w:rsidRPr="00E85A65" w:rsidRDefault="00A92DB4" w:rsidP="00A92DB4">
      <w:pPr>
        <w:numPr>
          <w:ilvl w:val="1"/>
          <w:numId w:val="3"/>
        </w:numPr>
        <w:spacing w:before="100" w:beforeAutospacing="1" w:after="100" w:afterAutospacing="1" w:line="259" w:lineRule="auto"/>
        <w:contextualSpacing/>
        <w:rPr>
          <w:rFonts w:cs="Arial"/>
          <w:color w:val="000000"/>
          <w:sz w:val="22"/>
          <w:szCs w:val="22"/>
          <w:lang w:eastAsia="en-US"/>
        </w:rPr>
      </w:pPr>
      <w:r w:rsidRPr="00E85A65">
        <w:rPr>
          <w:rFonts w:cs="Arial"/>
          <w:sz w:val="22"/>
          <w:szCs w:val="22"/>
          <w:lang w:eastAsia="en-US"/>
        </w:rPr>
        <w:t>Produce a clear decision-making process during Gateway Review process and milestones</w:t>
      </w:r>
    </w:p>
    <w:p w14:paraId="3D3EAF40" w14:textId="77777777" w:rsidR="00A92DB4" w:rsidRDefault="00A92DB4" w:rsidP="00A92DB4">
      <w:pPr>
        <w:rPr>
          <w:rFonts w:cs="Arial"/>
          <w:sz w:val="22"/>
          <w:szCs w:val="22"/>
          <w:lang w:eastAsia="en-US"/>
        </w:rPr>
      </w:pPr>
    </w:p>
    <w:p w14:paraId="28D606CA" w14:textId="77777777" w:rsidR="00A92DB4" w:rsidRPr="00146466" w:rsidRDefault="00A92DB4" w:rsidP="00A92DB4">
      <w:pPr>
        <w:numPr>
          <w:ilvl w:val="0"/>
          <w:numId w:val="3"/>
        </w:numPr>
        <w:rPr>
          <w:rFonts w:cs="Arial"/>
          <w:sz w:val="22"/>
          <w:szCs w:val="22"/>
          <w:lang w:eastAsia="en-US"/>
        </w:rPr>
      </w:pPr>
      <w:r w:rsidRPr="00146466">
        <w:rPr>
          <w:rFonts w:cs="Arial"/>
          <w:sz w:val="22"/>
          <w:szCs w:val="22"/>
          <w:lang w:eastAsia="en-US"/>
        </w:rPr>
        <w:t>Decision making scope to include:</w:t>
      </w:r>
    </w:p>
    <w:p w14:paraId="35CF335F" w14:textId="77777777" w:rsidR="00A92DB4" w:rsidRPr="00146466" w:rsidRDefault="00A92DB4" w:rsidP="00A92DB4">
      <w:pPr>
        <w:pStyle w:val="ListParagraph"/>
        <w:rPr>
          <w:rFonts w:cs="Arial"/>
          <w:sz w:val="22"/>
          <w:szCs w:val="22"/>
          <w:lang w:eastAsia="en-US"/>
        </w:rPr>
      </w:pPr>
    </w:p>
    <w:p w14:paraId="68F2A1FE" w14:textId="77777777" w:rsidR="00A92DB4" w:rsidRPr="00146466" w:rsidRDefault="00A92DB4" w:rsidP="00A92DB4">
      <w:pPr>
        <w:numPr>
          <w:ilvl w:val="1"/>
          <w:numId w:val="3"/>
        </w:numPr>
        <w:spacing w:before="100" w:beforeAutospacing="1" w:after="100" w:afterAutospacing="1" w:line="259" w:lineRule="auto"/>
        <w:contextualSpacing/>
        <w:rPr>
          <w:rFonts w:cs="Arial"/>
          <w:color w:val="000000"/>
          <w:sz w:val="22"/>
          <w:szCs w:val="22"/>
          <w:lang w:eastAsia="en-US"/>
        </w:rPr>
      </w:pPr>
      <w:r w:rsidRPr="00146466">
        <w:rPr>
          <w:rFonts w:cs="Arial"/>
          <w:color w:val="000000"/>
          <w:sz w:val="22"/>
          <w:szCs w:val="22"/>
          <w:lang w:eastAsia="en-US"/>
        </w:rPr>
        <w:t>Mitigative Actions related to market fluctuation, financial and legal risk</w:t>
      </w:r>
    </w:p>
    <w:p w14:paraId="3F3D8F59" w14:textId="77777777" w:rsidR="00A92DB4" w:rsidRPr="00146466" w:rsidRDefault="00A92DB4" w:rsidP="00A92DB4">
      <w:pPr>
        <w:numPr>
          <w:ilvl w:val="1"/>
          <w:numId w:val="3"/>
        </w:numPr>
        <w:spacing w:before="100" w:beforeAutospacing="1" w:after="100" w:afterAutospacing="1" w:line="259" w:lineRule="auto"/>
        <w:contextualSpacing/>
        <w:rPr>
          <w:rFonts w:cs="Arial"/>
          <w:color w:val="000000"/>
          <w:sz w:val="22"/>
          <w:szCs w:val="22"/>
          <w:lang w:eastAsia="en-US"/>
        </w:rPr>
      </w:pPr>
      <w:r w:rsidRPr="00146466">
        <w:rPr>
          <w:rFonts w:cs="Arial"/>
          <w:color w:val="000000"/>
          <w:sz w:val="22"/>
          <w:szCs w:val="22"/>
          <w:lang w:eastAsia="en-US"/>
        </w:rPr>
        <w:t>Financial and Legal exposure Risk Reduction</w:t>
      </w:r>
    </w:p>
    <w:p w14:paraId="37B12FC3" w14:textId="77777777" w:rsidR="00A92DB4" w:rsidRPr="00146466" w:rsidRDefault="00A92DB4" w:rsidP="00A92DB4">
      <w:pPr>
        <w:numPr>
          <w:ilvl w:val="1"/>
          <w:numId w:val="3"/>
        </w:numPr>
        <w:spacing w:before="100" w:beforeAutospacing="1" w:after="100" w:afterAutospacing="1" w:line="259" w:lineRule="auto"/>
        <w:contextualSpacing/>
        <w:rPr>
          <w:rFonts w:cs="Arial"/>
          <w:color w:val="000000"/>
          <w:sz w:val="22"/>
          <w:szCs w:val="22"/>
          <w:lang w:eastAsia="en-US"/>
        </w:rPr>
      </w:pPr>
      <w:r w:rsidRPr="00146466">
        <w:rPr>
          <w:rFonts w:cs="Arial"/>
          <w:color w:val="000000"/>
          <w:sz w:val="22"/>
          <w:szCs w:val="22"/>
          <w:lang w:eastAsia="en-US"/>
        </w:rPr>
        <w:t>Delegated decisions making prior to action</w:t>
      </w:r>
    </w:p>
    <w:p w14:paraId="23820AEE" w14:textId="77777777" w:rsidR="00A92DB4" w:rsidRPr="00146466" w:rsidRDefault="00A92DB4" w:rsidP="00A92DB4">
      <w:pPr>
        <w:numPr>
          <w:ilvl w:val="1"/>
          <w:numId w:val="3"/>
        </w:numPr>
        <w:spacing w:before="100" w:beforeAutospacing="1" w:after="100" w:afterAutospacing="1" w:line="259" w:lineRule="auto"/>
        <w:contextualSpacing/>
        <w:rPr>
          <w:rFonts w:cs="Arial"/>
          <w:color w:val="000000"/>
          <w:sz w:val="22"/>
          <w:szCs w:val="22"/>
          <w:lang w:eastAsia="en-US"/>
        </w:rPr>
      </w:pPr>
      <w:r w:rsidRPr="00146466">
        <w:rPr>
          <w:rFonts w:cs="Arial"/>
          <w:color w:val="000000"/>
          <w:sz w:val="22"/>
          <w:szCs w:val="22"/>
          <w:lang w:eastAsia="en-US"/>
        </w:rPr>
        <w:t>Member oversight and scrutiny</w:t>
      </w:r>
    </w:p>
    <w:p w14:paraId="4EEA240D" w14:textId="77777777" w:rsidR="00A92DB4" w:rsidRPr="00146466" w:rsidRDefault="00A92DB4" w:rsidP="00A92DB4">
      <w:pPr>
        <w:numPr>
          <w:ilvl w:val="1"/>
          <w:numId w:val="3"/>
        </w:numPr>
        <w:spacing w:before="100" w:beforeAutospacing="1" w:after="100" w:afterAutospacing="1" w:line="259" w:lineRule="auto"/>
        <w:contextualSpacing/>
        <w:rPr>
          <w:rFonts w:cs="Arial"/>
          <w:color w:val="000000"/>
          <w:sz w:val="22"/>
          <w:szCs w:val="22"/>
          <w:lang w:eastAsia="en-US"/>
        </w:rPr>
      </w:pPr>
      <w:r w:rsidRPr="00146466">
        <w:rPr>
          <w:rFonts w:cs="Arial"/>
          <w:color w:val="000000"/>
          <w:sz w:val="22"/>
          <w:szCs w:val="22"/>
          <w:lang w:eastAsia="en-US"/>
        </w:rPr>
        <w:t>Decisions related to Government recommendation and direction</w:t>
      </w:r>
    </w:p>
    <w:p w14:paraId="52260F9C" w14:textId="77777777" w:rsidR="00A92DB4" w:rsidRDefault="00A92DB4" w:rsidP="00A92DB4">
      <w:pPr>
        <w:rPr>
          <w:rFonts w:cs="Arial"/>
          <w:sz w:val="22"/>
          <w:szCs w:val="22"/>
          <w:lang w:eastAsia="en-US"/>
        </w:rPr>
      </w:pPr>
    </w:p>
    <w:p w14:paraId="1931BD06" w14:textId="77777777" w:rsidR="00A92DB4" w:rsidRDefault="00A92DB4" w:rsidP="00A92DB4">
      <w:pPr>
        <w:rPr>
          <w:rFonts w:cs="Arial"/>
          <w:sz w:val="22"/>
          <w:szCs w:val="22"/>
          <w:lang w:eastAsia="en-US"/>
        </w:rPr>
      </w:pPr>
    </w:p>
    <w:p w14:paraId="242D517E" w14:textId="77777777" w:rsidR="00A92DB4" w:rsidRDefault="00A92DB4" w:rsidP="00A92DB4">
      <w:pPr>
        <w:rPr>
          <w:rFonts w:cs="Arial"/>
          <w:sz w:val="22"/>
          <w:szCs w:val="22"/>
          <w:lang w:eastAsia="en-US"/>
        </w:rPr>
      </w:pPr>
    </w:p>
    <w:p w14:paraId="799C1F18" w14:textId="77777777" w:rsidR="00A92DB4" w:rsidRPr="003122A3" w:rsidRDefault="00A92DB4" w:rsidP="00A92DB4">
      <w:pPr>
        <w:numPr>
          <w:ilvl w:val="0"/>
          <w:numId w:val="6"/>
        </w:numPr>
        <w:rPr>
          <w:rFonts w:cs="Arial"/>
          <w:b/>
          <w:bCs/>
          <w:sz w:val="32"/>
          <w:szCs w:val="32"/>
        </w:rPr>
      </w:pPr>
      <w:r w:rsidRPr="003122A3">
        <w:rPr>
          <w:rFonts w:cs="Arial"/>
          <w:b/>
          <w:bCs/>
          <w:sz w:val="32"/>
          <w:szCs w:val="32"/>
        </w:rPr>
        <w:t>Reporting and Monitoring</w:t>
      </w:r>
    </w:p>
    <w:p w14:paraId="7561D121" w14:textId="77777777" w:rsidR="00A92DB4" w:rsidRDefault="00A92DB4" w:rsidP="00A92DB4">
      <w:pPr>
        <w:rPr>
          <w:rFonts w:cs="Arial"/>
          <w:sz w:val="20"/>
        </w:rPr>
      </w:pPr>
    </w:p>
    <w:p w14:paraId="44A0D11B" w14:textId="77777777" w:rsidR="00A92DB4" w:rsidRPr="008C77A3" w:rsidRDefault="00A92DB4" w:rsidP="00A92DB4">
      <w:pPr>
        <w:ind w:left="720"/>
        <w:rPr>
          <w:rFonts w:cs="Arial"/>
          <w:b/>
          <w:bCs/>
          <w:sz w:val="22"/>
          <w:szCs w:val="22"/>
        </w:rPr>
      </w:pPr>
      <w:r w:rsidRPr="008C77A3">
        <w:rPr>
          <w:rFonts w:cs="Arial"/>
          <w:b/>
          <w:bCs/>
          <w:sz w:val="22"/>
          <w:szCs w:val="22"/>
        </w:rPr>
        <w:t xml:space="preserve">Collation of Information </w:t>
      </w:r>
    </w:p>
    <w:p w14:paraId="6882C4DC" w14:textId="77777777" w:rsidR="00A92DB4" w:rsidRPr="003122A3" w:rsidRDefault="00A92DB4" w:rsidP="00A92DB4">
      <w:pPr>
        <w:spacing w:before="100" w:beforeAutospacing="1" w:after="100" w:afterAutospacing="1" w:line="259" w:lineRule="auto"/>
        <w:ind w:left="720"/>
        <w:contextualSpacing/>
        <w:rPr>
          <w:rFonts w:cs="Arial"/>
          <w:color w:val="000000"/>
          <w:sz w:val="22"/>
          <w:szCs w:val="22"/>
          <w:lang w:eastAsia="en-US"/>
        </w:rPr>
      </w:pPr>
    </w:p>
    <w:p w14:paraId="7BC713C5" w14:textId="77777777" w:rsidR="00A92DB4" w:rsidRPr="003122A3" w:rsidRDefault="00A92DB4" w:rsidP="00A92DB4">
      <w:pPr>
        <w:numPr>
          <w:ilvl w:val="1"/>
          <w:numId w:val="6"/>
        </w:numPr>
        <w:spacing w:before="100" w:beforeAutospacing="1" w:after="100" w:afterAutospacing="1" w:line="259" w:lineRule="auto"/>
        <w:contextualSpacing/>
        <w:rPr>
          <w:rFonts w:cs="Arial"/>
          <w:color w:val="000000"/>
          <w:sz w:val="22"/>
          <w:szCs w:val="22"/>
          <w:lang w:eastAsia="en-US"/>
        </w:rPr>
      </w:pPr>
      <w:r w:rsidRPr="003122A3">
        <w:rPr>
          <w:rFonts w:cs="Arial"/>
          <w:color w:val="000000"/>
          <w:sz w:val="22"/>
          <w:szCs w:val="22"/>
          <w:lang w:eastAsia="en-US"/>
        </w:rPr>
        <w:t xml:space="preserve">Due to the nature of the information – each reporting cycle will require a detailed highlight report. This will comprise of a Project Manager Report, Lead Officer Report, Asset Exceptions, Risk and Mitigation, Financial Status, Workstream Report presented within a Dashboard. </w:t>
      </w:r>
    </w:p>
    <w:p w14:paraId="1F4E6354" w14:textId="77777777" w:rsidR="00A92DB4" w:rsidRDefault="00A92DB4" w:rsidP="00A92DB4">
      <w:pPr>
        <w:rPr>
          <w:rFonts w:cs="Arial"/>
          <w:sz w:val="22"/>
          <w:szCs w:val="22"/>
        </w:rPr>
      </w:pPr>
    </w:p>
    <w:p w14:paraId="1D45639C" w14:textId="77777777" w:rsidR="00A92DB4" w:rsidRPr="003122A3" w:rsidRDefault="00A92DB4" w:rsidP="00A92DB4">
      <w:pPr>
        <w:numPr>
          <w:ilvl w:val="1"/>
          <w:numId w:val="6"/>
        </w:numPr>
        <w:spacing w:before="100" w:beforeAutospacing="1" w:after="100" w:afterAutospacing="1" w:line="259" w:lineRule="auto"/>
        <w:contextualSpacing/>
        <w:rPr>
          <w:rFonts w:cs="Arial"/>
          <w:color w:val="000000"/>
          <w:sz w:val="22"/>
          <w:szCs w:val="22"/>
          <w:lang w:eastAsia="en-US"/>
        </w:rPr>
      </w:pPr>
      <w:r w:rsidRPr="003122A3">
        <w:rPr>
          <w:rFonts w:cs="Arial"/>
          <w:color w:val="000000"/>
          <w:sz w:val="22"/>
          <w:szCs w:val="22"/>
          <w:lang w:eastAsia="en-US"/>
        </w:rPr>
        <w:t>A detailed database will feed into the high level report and can be accessed to provide information for robust decision making.</w:t>
      </w:r>
    </w:p>
    <w:p w14:paraId="0A0B2633" w14:textId="77777777" w:rsidR="00A92DB4" w:rsidRPr="00A2610E" w:rsidRDefault="00A92DB4" w:rsidP="00A92DB4">
      <w:pPr>
        <w:numPr>
          <w:ilvl w:val="12"/>
          <w:numId w:val="0"/>
        </w:numPr>
        <w:jc w:val="both"/>
        <w:rPr>
          <w:rFonts w:cs="Arial"/>
          <w:sz w:val="22"/>
          <w:szCs w:val="22"/>
          <w:lang w:eastAsia="en-US"/>
        </w:rPr>
      </w:pPr>
    </w:p>
    <w:p w14:paraId="68C533CA" w14:textId="77777777" w:rsidR="00A92DB4" w:rsidRPr="008C77A3" w:rsidRDefault="00A92DB4" w:rsidP="00A92DB4">
      <w:pPr>
        <w:numPr>
          <w:ilvl w:val="12"/>
          <w:numId w:val="0"/>
        </w:numPr>
        <w:ind w:left="720"/>
        <w:jc w:val="both"/>
        <w:rPr>
          <w:rFonts w:cs="Arial"/>
          <w:b/>
          <w:bCs/>
          <w:sz w:val="22"/>
          <w:szCs w:val="22"/>
          <w:lang w:eastAsia="en-US"/>
        </w:rPr>
      </w:pPr>
      <w:r w:rsidRPr="008C77A3">
        <w:rPr>
          <w:rFonts w:cs="Arial"/>
          <w:b/>
          <w:bCs/>
          <w:sz w:val="22"/>
          <w:szCs w:val="22"/>
          <w:lang w:eastAsia="en-US"/>
        </w:rPr>
        <w:t>Data Storage</w:t>
      </w:r>
    </w:p>
    <w:p w14:paraId="7060AE3D" w14:textId="77777777" w:rsidR="00A92DB4" w:rsidRDefault="00A92DB4" w:rsidP="00A92DB4">
      <w:pPr>
        <w:numPr>
          <w:ilvl w:val="12"/>
          <w:numId w:val="0"/>
        </w:numPr>
        <w:jc w:val="both"/>
        <w:rPr>
          <w:rFonts w:cs="Arial"/>
          <w:sz w:val="22"/>
          <w:szCs w:val="22"/>
          <w:lang w:eastAsia="en-US"/>
        </w:rPr>
      </w:pPr>
    </w:p>
    <w:p w14:paraId="48093C8A" w14:textId="77777777" w:rsidR="00A92DB4" w:rsidRPr="003122A3" w:rsidRDefault="00A92DB4" w:rsidP="00A92DB4">
      <w:pPr>
        <w:numPr>
          <w:ilvl w:val="1"/>
          <w:numId w:val="6"/>
        </w:numPr>
        <w:spacing w:before="100" w:beforeAutospacing="1" w:after="100" w:afterAutospacing="1" w:line="259" w:lineRule="auto"/>
        <w:contextualSpacing/>
        <w:rPr>
          <w:rFonts w:cs="Arial"/>
          <w:color w:val="000000"/>
          <w:sz w:val="22"/>
          <w:szCs w:val="22"/>
          <w:lang w:eastAsia="en-US"/>
        </w:rPr>
      </w:pPr>
      <w:r w:rsidRPr="003122A3">
        <w:rPr>
          <w:rFonts w:cs="Arial"/>
          <w:color w:val="000000"/>
          <w:sz w:val="22"/>
          <w:szCs w:val="22"/>
          <w:lang w:eastAsia="en-US"/>
        </w:rPr>
        <w:t xml:space="preserve">Storage of the Asset database on </w:t>
      </w:r>
      <w:proofErr w:type="spellStart"/>
      <w:r w:rsidRPr="003122A3">
        <w:rPr>
          <w:rFonts w:cs="Arial"/>
          <w:color w:val="000000"/>
          <w:sz w:val="22"/>
          <w:szCs w:val="22"/>
          <w:lang w:eastAsia="en-US"/>
        </w:rPr>
        <w:t>Sharepoint</w:t>
      </w:r>
      <w:proofErr w:type="spellEnd"/>
      <w:r w:rsidRPr="003122A3">
        <w:rPr>
          <w:rFonts w:cs="Arial"/>
          <w:color w:val="000000"/>
          <w:sz w:val="22"/>
          <w:szCs w:val="22"/>
          <w:lang w:eastAsia="en-US"/>
        </w:rPr>
        <w:t xml:space="preserve"> will allow users and holders of the information to populate required criteria during the reporting cycle. The updated information can then be extracted at nominated intervals as a highlight and risk mitigation grid on the Dashboard and distributed prior to the Asset Management Review Group Meetings</w:t>
      </w:r>
    </w:p>
    <w:p w14:paraId="25646701" w14:textId="77777777" w:rsidR="00A92DB4" w:rsidRDefault="00A92DB4" w:rsidP="00A92DB4">
      <w:pPr>
        <w:numPr>
          <w:ilvl w:val="12"/>
          <w:numId w:val="0"/>
        </w:numPr>
        <w:jc w:val="both"/>
        <w:rPr>
          <w:rFonts w:cs="Arial"/>
          <w:sz w:val="20"/>
          <w:lang w:eastAsia="en-US"/>
        </w:rPr>
      </w:pPr>
    </w:p>
    <w:p w14:paraId="17D06848" w14:textId="77777777" w:rsidR="00A92DB4" w:rsidRDefault="00A92DB4" w:rsidP="00A92DB4">
      <w:pPr>
        <w:numPr>
          <w:ilvl w:val="12"/>
          <w:numId w:val="0"/>
        </w:numPr>
        <w:jc w:val="both"/>
        <w:rPr>
          <w:rFonts w:cs="Arial"/>
          <w:b/>
          <w:color w:val="000000"/>
          <w:szCs w:val="24"/>
          <w:lang w:eastAsia="en-US"/>
        </w:rPr>
      </w:pPr>
    </w:p>
    <w:p w14:paraId="313D609B" w14:textId="77777777" w:rsidR="00A92DB4" w:rsidRPr="003122A3" w:rsidRDefault="00A92DB4" w:rsidP="00A92DB4">
      <w:pPr>
        <w:numPr>
          <w:ilvl w:val="0"/>
          <w:numId w:val="6"/>
        </w:numPr>
        <w:rPr>
          <w:rFonts w:cs="Arial"/>
          <w:b/>
          <w:bCs/>
          <w:sz w:val="32"/>
          <w:szCs w:val="32"/>
        </w:rPr>
      </w:pPr>
      <w:r w:rsidRPr="003122A3">
        <w:rPr>
          <w:rFonts w:cs="Arial"/>
          <w:b/>
          <w:bCs/>
          <w:sz w:val="32"/>
          <w:szCs w:val="32"/>
        </w:rPr>
        <w:t>Governance Structure</w:t>
      </w:r>
    </w:p>
    <w:p w14:paraId="1AAFFAF8" w14:textId="77777777" w:rsidR="00A92DB4" w:rsidRDefault="00A92DB4" w:rsidP="00A92DB4">
      <w:pPr>
        <w:numPr>
          <w:ilvl w:val="12"/>
          <w:numId w:val="0"/>
        </w:numPr>
        <w:jc w:val="both"/>
        <w:rPr>
          <w:rFonts w:cs="Arial"/>
          <w:bCs/>
          <w:color w:val="000000"/>
          <w:sz w:val="32"/>
          <w:szCs w:val="32"/>
          <w:lang w:eastAsia="en-US"/>
        </w:rPr>
      </w:pPr>
    </w:p>
    <w:p w14:paraId="6C3BBBB5" w14:textId="77777777" w:rsidR="00A92DB4" w:rsidRPr="003122A3" w:rsidRDefault="00A92DB4" w:rsidP="00A92DB4">
      <w:pPr>
        <w:numPr>
          <w:ilvl w:val="1"/>
          <w:numId w:val="6"/>
        </w:numPr>
        <w:spacing w:before="100" w:beforeAutospacing="1" w:after="100" w:afterAutospacing="1" w:line="259" w:lineRule="auto"/>
        <w:contextualSpacing/>
        <w:rPr>
          <w:rFonts w:cs="Arial"/>
          <w:color w:val="000000"/>
          <w:sz w:val="22"/>
          <w:szCs w:val="22"/>
          <w:lang w:eastAsia="en-US"/>
        </w:rPr>
      </w:pPr>
      <w:r w:rsidRPr="003122A3">
        <w:rPr>
          <w:rFonts w:cs="Arial"/>
          <w:color w:val="000000"/>
          <w:sz w:val="22"/>
          <w:szCs w:val="22"/>
          <w:lang w:eastAsia="en-US"/>
        </w:rPr>
        <w:t>The new Governance structure will draw together a closer relationship between Finance, Legal, Property, Programme and Director service areas.</w:t>
      </w:r>
    </w:p>
    <w:p w14:paraId="4A9CF0C3" w14:textId="77777777" w:rsidR="00A92DB4" w:rsidRDefault="00A92DB4" w:rsidP="00A92DB4">
      <w:pPr>
        <w:numPr>
          <w:ilvl w:val="12"/>
          <w:numId w:val="0"/>
        </w:numPr>
        <w:jc w:val="both"/>
        <w:rPr>
          <w:rFonts w:cs="Arial"/>
          <w:bCs/>
          <w:color w:val="000000"/>
          <w:sz w:val="22"/>
          <w:szCs w:val="22"/>
          <w:lang w:eastAsia="en-US"/>
        </w:rPr>
      </w:pPr>
    </w:p>
    <w:p w14:paraId="01CD32CC" w14:textId="77777777" w:rsidR="00A92DB4" w:rsidRPr="00824CAA" w:rsidRDefault="00A92DB4" w:rsidP="00A92DB4">
      <w:pPr>
        <w:numPr>
          <w:ilvl w:val="1"/>
          <w:numId w:val="6"/>
        </w:numPr>
        <w:spacing w:before="100" w:beforeAutospacing="1" w:after="100" w:afterAutospacing="1" w:line="259" w:lineRule="auto"/>
        <w:contextualSpacing/>
        <w:rPr>
          <w:rFonts w:cs="Arial"/>
          <w:color w:val="000000"/>
          <w:sz w:val="22"/>
          <w:szCs w:val="22"/>
          <w:lang w:eastAsia="en-US"/>
        </w:rPr>
      </w:pPr>
      <w:r w:rsidRPr="00824CAA">
        <w:rPr>
          <w:rFonts w:cs="Arial"/>
          <w:color w:val="000000"/>
          <w:sz w:val="22"/>
          <w:szCs w:val="22"/>
          <w:lang w:eastAsia="en-US"/>
        </w:rPr>
        <w:t>The Asset Management Review Group will coordinate and approve workstreams, prioritise risk areas to be managed , and provide transparency to decision making and financial sustainability.</w:t>
      </w:r>
    </w:p>
    <w:p w14:paraId="38227A4D" w14:textId="77777777" w:rsidR="00A92DB4" w:rsidRDefault="00A92DB4" w:rsidP="00A92DB4">
      <w:pPr>
        <w:numPr>
          <w:ilvl w:val="12"/>
          <w:numId w:val="0"/>
        </w:numPr>
        <w:jc w:val="both"/>
        <w:rPr>
          <w:rFonts w:cs="Arial"/>
          <w:bCs/>
          <w:color w:val="000000"/>
          <w:sz w:val="22"/>
          <w:szCs w:val="22"/>
          <w:lang w:eastAsia="en-US"/>
        </w:rPr>
      </w:pPr>
    </w:p>
    <w:p w14:paraId="1DBAACAD" w14:textId="77777777" w:rsidR="00A92DB4" w:rsidRDefault="00A92DB4" w:rsidP="00A92DB4">
      <w:pPr>
        <w:numPr>
          <w:ilvl w:val="1"/>
          <w:numId w:val="6"/>
        </w:numPr>
        <w:spacing w:before="100" w:beforeAutospacing="1" w:after="100" w:afterAutospacing="1" w:line="259" w:lineRule="auto"/>
        <w:contextualSpacing/>
        <w:rPr>
          <w:rFonts w:cs="Arial"/>
          <w:color w:val="000000"/>
          <w:sz w:val="22"/>
          <w:szCs w:val="22"/>
          <w:lang w:eastAsia="en-US"/>
        </w:rPr>
      </w:pPr>
      <w:r w:rsidRPr="003122A3">
        <w:rPr>
          <w:rFonts w:cs="Arial"/>
          <w:color w:val="000000"/>
          <w:sz w:val="22"/>
          <w:szCs w:val="22"/>
          <w:lang w:eastAsia="en-US"/>
        </w:rPr>
        <w:t>The below Governance structure demonstrate how the new plans will be implemented in a wider Council context</w:t>
      </w:r>
    </w:p>
    <w:p w14:paraId="1D7F2504" w14:textId="77777777" w:rsidR="00A92DB4" w:rsidRDefault="00A92DB4" w:rsidP="00A92DB4">
      <w:pPr>
        <w:pStyle w:val="ListParagraph"/>
        <w:rPr>
          <w:rFonts w:cs="Arial"/>
          <w:color w:val="000000"/>
          <w:sz w:val="22"/>
          <w:szCs w:val="22"/>
          <w:lang w:eastAsia="en-US"/>
        </w:rPr>
      </w:pPr>
    </w:p>
    <w:p w14:paraId="31BBDED3" w14:textId="77777777" w:rsidR="00A92DB4" w:rsidRPr="003122A3" w:rsidRDefault="00A92DB4" w:rsidP="00A92DB4">
      <w:pPr>
        <w:numPr>
          <w:ilvl w:val="1"/>
          <w:numId w:val="6"/>
        </w:numPr>
        <w:spacing w:before="100" w:beforeAutospacing="1" w:after="100" w:afterAutospacing="1" w:line="259" w:lineRule="auto"/>
        <w:contextualSpacing/>
        <w:rPr>
          <w:rFonts w:cs="Arial"/>
          <w:color w:val="000000"/>
          <w:sz w:val="22"/>
          <w:szCs w:val="22"/>
          <w:lang w:eastAsia="en-US"/>
        </w:rPr>
      </w:pPr>
      <w:r>
        <w:rPr>
          <w:rFonts w:cs="Arial"/>
          <w:color w:val="000000"/>
          <w:sz w:val="22"/>
          <w:szCs w:val="22"/>
          <w:lang w:eastAsia="en-US"/>
        </w:rPr>
        <w:t>Approvals – whether delegated or Cabinet, should be informed by the Asset Management Strategy</w:t>
      </w:r>
    </w:p>
    <w:p w14:paraId="0F600C5D" w14:textId="77777777" w:rsidR="00A92DB4" w:rsidRDefault="00A92DB4" w:rsidP="00A92DB4">
      <w:pPr>
        <w:numPr>
          <w:ilvl w:val="12"/>
          <w:numId w:val="0"/>
        </w:numPr>
        <w:jc w:val="both"/>
      </w:pPr>
    </w:p>
    <w:p w14:paraId="72C6F8BD" w14:textId="77777777" w:rsidR="00A92DB4" w:rsidRDefault="00A92DB4" w:rsidP="00A92DB4">
      <w:pPr>
        <w:numPr>
          <w:ilvl w:val="12"/>
          <w:numId w:val="0"/>
        </w:numPr>
        <w:jc w:val="both"/>
      </w:pPr>
    </w:p>
    <w:p w14:paraId="56416A43" w14:textId="77777777" w:rsidR="00A92DB4" w:rsidRDefault="00A92DB4" w:rsidP="00A92DB4">
      <w:pPr>
        <w:rPr>
          <w:rFonts w:cs="Arial"/>
          <w:szCs w:val="24"/>
        </w:rPr>
      </w:pPr>
    </w:p>
    <w:p w14:paraId="26967312" w14:textId="77777777" w:rsidR="00A92DB4" w:rsidRDefault="00A92DB4" w:rsidP="00A92DB4">
      <w:pPr>
        <w:rPr>
          <w:rFonts w:cs="Arial"/>
          <w:szCs w:val="24"/>
        </w:rPr>
      </w:pPr>
    </w:p>
    <w:p w14:paraId="74C92E23" w14:textId="77777777" w:rsidR="00A92DB4" w:rsidRDefault="00A92DB4" w:rsidP="00A92DB4">
      <w:pPr>
        <w:rPr>
          <w:rFonts w:cs="Arial"/>
          <w:szCs w:val="24"/>
        </w:rPr>
      </w:pPr>
    </w:p>
    <w:p w14:paraId="64FBE22F" w14:textId="77777777" w:rsidR="00A92DB4" w:rsidRDefault="00A92DB4" w:rsidP="00A92DB4">
      <w:pPr>
        <w:rPr>
          <w:rFonts w:cs="Arial"/>
          <w:szCs w:val="24"/>
        </w:rPr>
      </w:pPr>
    </w:p>
    <w:p w14:paraId="2E210D73" w14:textId="77777777" w:rsidR="00A92DB4" w:rsidRDefault="00A92DB4" w:rsidP="00A92DB4">
      <w:pPr>
        <w:rPr>
          <w:rFonts w:cs="Arial"/>
          <w:szCs w:val="24"/>
        </w:rPr>
      </w:pPr>
    </w:p>
    <w:p w14:paraId="450DCF97" w14:textId="77777777" w:rsidR="00A92DB4" w:rsidRDefault="00A92DB4" w:rsidP="00A92DB4">
      <w:pPr>
        <w:rPr>
          <w:rFonts w:cs="Arial"/>
          <w:szCs w:val="24"/>
        </w:rPr>
      </w:pPr>
      <w:r>
        <w:rPr>
          <w:rFonts w:cs="Arial"/>
          <w:szCs w:val="24"/>
        </w:rPr>
        <w:br w:type="page"/>
      </w:r>
    </w:p>
    <w:p w14:paraId="3DE1B364" w14:textId="77777777" w:rsidR="00A92DB4" w:rsidRDefault="00A92DB4" w:rsidP="00A92DB4">
      <w:r w:rsidRPr="00C442FD">
        <w:rPr>
          <w:noProof/>
        </w:rPr>
        <mc:AlternateContent>
          <mc:Choice Requires="wps">
            <w:drawing>
              <wp:anchor distT="0" distB="0" distL="114300" distR="114300" simplePos="0" relativeHeight="251660288" behindDoc="0" locked="0" layoutInCell="1" allowOverlap="1" wp14:anchorId="48399BC8" wp14:editId="651A15F4">
                <wp:simplePos x="0" y="0"/>
                <wp:positionH relativeFrom="column">
                  <wp:posOffset>-228600</wp:posOffset>
                </wp:positionH>
                <wp:positionV relativeFrom="paragraph">
                  <wp:posOffset>2047876</wp:posOffset>
                </wp:positionV>
                <wp:extent cx="6338570" cy="1219200"/>
                <wp:effectExtent l="0" t="0" r="24130" b="19050"/>
                <wp:wrapNone/>
                <wp:docPr id="5" name="Rounded Rectangle 4">
                  <a:extLst xmlns:a="http://schemas.openxmlformats.org/drawingml/2006/main">
                    <a:ext uri="{FF2B5EF4-FFF2-40B4-BE49-F238E27FC236}">
                      <a16:creationId xmlns:a16="http://schemas.microsoft.com/office/drawing/2014/main" id="{1F0DED65-7D8C-3C40-9B4D-EA842AFB49BC}"/>
                    </a:ext>
                  </a:extLst>
                </wp:docPr>
                <wp:cNvGraphicFramePr/>
                <a:graphic xmlns:a="http://schemas.openxmlformats.org/drawingml/2006/main">
                  <a:graphicData uri="http://schemas.microsoft.com/office/word/2010/wordprocessingShape">
                    <wps:wsp>
                      <wps:cNvSpPr/>
                      <wps:spPr>
                        <a:xfrm>
                          <a:off x="0" y="0"/>
                          <a:ext cx="6338570" cy="1219200"/>
                        </a:xfrm>
                        <a:prstGeom prst="roundRect">
                          <a:avLst/>
                        </a:prstGeom>
                        <a:noFill/>
                        <a:ln w="12700" cap="flat" cmpd="sng" algn="ctr">
                          <a:solidFill>
                            <a:srgbClr val="4472C4"/>
                          </a:solidFill>
                          <a:prstDash val="solid"/>
                          <a:miter lim="800000"/>
                        </a:ln>
                        <a:effectLst/>
                      </wps:spPr>
                      <wps:txbx>
                        <w:txbxContent>
                          <w:p w14:paraId="4BA8DD51" w14:textId="77777777" w:rsidR="00A92DB4" w:rsidRPr="00C442FD" w:rsidRDefault="00A92DB4" w:rsidP="00A92DB4">
                            <w:pPr>
                              <w:jc w:val="center"/>
                              <w:rPr>
                                <w:sz w:val="28"/>
                                <w:szCs w:val="28"/>
                              </w:rPr>
                            </w:pPr>
                            <w:r w:rsidRPr="00C442FD">
                              <w:rPr>
                                <w:rFonts w:hAnsi="Calibri"/>
                                <w:b/>
                                <w:bCs/>
                                <w:color w:val="44546A" w:themeColor="text2"/>
                                <w:kern w:val="24"/>
                                <w:sz w:val="28"/>
                                <w:szCs w:val="28"/>
                                <w:lang w:val="en-US"/>
                              </w:rPr>
                              <w:t>Investment Officer Group</w:t>
                            </w:r>
                          </w:p>
                          <w:p w14:paraId="283F51BB" w14:textId="77777777" w:rsidR="00A92DB4" w:rsidRPr="00AF63D7" w:rsidRDefault="00A92DB4" w:rsidP="00A92DB4">
                            <w:pPr>
                              <w:rPr>
                                <w:rFonts w:cs="Arial"/>
                                <w:color w:val="44546A" w:themeColor="text2"/>
                                <w:kern w:val="24"/>
                                <w:sz w:val="20"/>
                                <w:lang w:val="en-US"/>
                              </w:rPr>
                            </w:pPr>
                            <w:r w:rsidRPr="00AF63D7">
                              <w:rPr>
                                <w:rFonts w:cs="Arial"/>
                                <w:color w:val="44546A" w:themeColor="text2"/>
                                <w:kern w:val="24"/>
                                <w:sz w:val="20"/>
                                <w:lang w:val="en-US"/>
                              </w:rPr>
                              <w:t>Membership: COO, s151, Monitoring Officer, Director of Regeneration &amp; Prosperity + other officers as required</w:t>
                            </w:r>
                          </w:p>
                          <w:p w14:paraId="202F3C97" w14:textId="77777777" w:rsidR="00A92DB4" w:rsidRPr="00AF63D7" w:rsidRDefault="00A92DB4" w:rsidP="00A92DB4">
                            <w:pPr>
                              <w:rPr>
                                <w:rFonts w:cs="Arial"/>
                                <w:sz w:val="20"/>
                              </w:rPr>
                            </w:pPr>
                            <w:r w:rsidRPr="00AF63D7">
                              <w:rPr>
                                <w:rFonts w:cs="Arial"/>
                                <w:color w:val="44546A" w:themeColor="text2"/>
                                <w:kern w:val="24"/>
                                <w:sz w:val="20"/>
                                <w:lang w:val="en-US"/>
                              </w:rPr>
                              <w:t>Purpose: To oversee the Council’s Investment Strategy</w:t>
                            </w:r>
                          </w:p>
                          <w:p w14:paraId="4F343589" w14:textId="77777777" w:rsidR="00A92DB4" w:rsidRPr="00AF63D7" w:rsidRDefault="00A92DB4" w:rsidP="00A92DB4">
                            <w:pPr>
                              <w:rPr>
                                <w:sz w:val="20"/>
                              </w:rPr>
                            </w:pPr>
                          </w:p>
                          <w:p w14:paraId="20F6A9F4" w14:textId="77777777" w:rsidR="00A92DB4" w:rsidRPr="00C442FD" w:rsidRDefault="00A92DB4" w:rsidP="00A92DB4">
                            <w:pPr>
                              <w:rPr>
                                <w:sz w:val="28"/>
                                <w:szCs w:val="28"/>
                              </w:rPr>
                            </w:pPr>
                            <w:r w:rsidRPr="00AF63D7">
                              <w:rPr>
                                <w:rFonts w:hAnsi="Calibri"/>
                                <w:color w:val="44546A" w:themeColor="text2"/>
                                <w:kern w:val="24"/>
                                <w:sz w:val="20"/>
                                <w:lang w:val="en-US"/>
                              </w:rPr>
                              <w:t>To make recommendations to Cabinet in terms of investments</w:t>
                            </w:r>
                            <w:r w:rsidRPr="00C442FD">
                              <w:rPr>
                                <w:rFonts w:hAnsi="Calibri"/>
                                <w:color w:val="44546A" w:themeColor="text2"/>
                                <w:kern w:val="24"/>
                                <w:sz w:val="28"/>
                                <w:szCs w:val="28"/>
                                <w:lang w:val="en-US"/>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8399BC8" id="Rounded Rectangle 4" o:spid="_x0000_s1026" style="position:absolute;margin-left:-18pt;margin-top:161.25pt;width:499.1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" filled="f" strokecolor="#4472c4" strokeweight="1pt">
                <v:stroke joinstyle="miter"/>
                <v:textbox>
                  <w:txbxContent>
                    <w:p w14:paraId="4BA8DD51" w14:textId="77777777" w:rsidR="00A92DB4" w:rsidRPr="00C442FD" w:rsidRDefault="00A92DB4" w:rsidP="00A92DB4">
                      <w:pPr>
                        <w:jc w:val="center"/>
                        <w:rPr>
                          <w:sz w:val="28"/>
                          <w:szCs w:val="28"/>
                        </w:rPr>
                      </w:pPr>
                      <w:r w:rsidRPr="00C442FD">
                        <w:rPr>
                          <w:rFonts w:hAnsi="Calibri"/>
                          <w:b/>
                          <w:bCs/>
                          <w:color w:val="44546A" w:themeColor="text2"/>
                          <w:kern w:val="24"/>
                          <w:sz w:val="28"/>
                          <w:szCs w:val="28"/>
                          <w:lang w:val="en-US"/>
                        </w:rPr>
                        <w:t>Investment Officer Group</w:t>
                      </w:r>
                    </w:p>
                    <w:p w14:paraId="283F51BB" w14:textId="77777777" w:rsidR="00A92DB4" w:rsidRPr="00AF63D7" w:rsidRDefault="00A92DB4" w:rsidP="00A92DB4">
                      <w:pPr>
                        <w:rPr>
                          <w:rFonts w:cs="Arial"/>
                          <w:color w:val="44546A" w:themeColor="text2"/>
                          <w:kern w:val="24"/>
                          <w:sz w:val="20"/>
                          <w:lang w:val="en-US"/>
                        </w:rPr>
                      </w:pPr>
                      <w:r w:rsidRPr="00AF63D7">
                        <w:rPr>
                          <w:rFonts w:cs="Arial"/>
                          <w:color w:val="44546A" w:themeColor="text2"/>
                          <w:kern w:val="24"/>
                          <w:sz w:val="20"/>
                          <w:lang w:val="en-US"/>
                        </w:rPr>
                        <w:t>Membership: COO, s151, Monitoring Officer, Director of Regeneration &amp; Prosperity + other officers as required</w:t>
                      </w:r>
                    </w:p>
                    <w:p w14:paraId="202F3C97" w14:textId="77777777" w:rsidR="00A92DB4" w:rsidRPr="00AF63D7" w:rsidRDefault="00A92DB4" w:rsidP="00A92DB4">
                      <w:pPr>
                        <w:rPr>
                          <w:rFonts w:cs="Arial"/>
                          <w:sz w:val="20"/>
                        </w:rPr>
                      </w:pPr>
                      <w:r w:rsidRPr="00AF63D7">
                        <w:rPr>
                          <w:rFonts w:cs="Arial"/>
                          <w:color w:val="44546A" w:themeColor="text2"/>
                          <w:kern w:val="24"/>
                          <w:sz w:val="20"/>
                          <w:lang w:val="en-US"/>
                        </w:rPr>
                        <w:t>Purpose: To oversee the Council’s Investment Strategy</w:t>
                      </w:r>
                    </w:p>
                    <w:p w14:paraId="4F343589" w14:textId="77777777" w:rsidR="00A92DB4" w:rsidRPr="00AF63D7" w:rsidRDefault="00A92DB4" w:rsidP="00A92DB4">
                      <w:pPr>
                        <w:rPr>
                          <w:sz w:val="20"/>
                        </w:rPr>
                      </w:pPr>
                    </w:p>
                    <w:p w14:paraId="20F6A9F4" w14:textId="77777777" w:rsidR="00A92DB4" w:rsidRPr="00C442FD" w:rsidRDefault="00A92DB4" w:rsidP="00A92DB4">
                      <w:pPr>
                        <w:rPr>
                          <w:sz w:val="28"/>
                          <w:szCs w:val="28"/>
                        </w:rPr>
                      </w:pPr>
                      <w:r w:rsidRPr="00AF63D7">
                        <w:rPr>
                          <w:rFonts w:hAnsi="Calibri"/>
                          <w:color w:val="44546A" w:themeColor="text2"/>
                          <w:kern w:val="24"/>
                          <w:sz w:val="20"/>
                          <w:lang w:val="en-US"/>
                        </w:rPr>
                        <w:t>To make recommendations to Cabinet in terms of investments</w:t>
                      </w:r>
                      <w:r w:rsidRPr="00C442FD">
                        <w:rPr>
                          <w:rFonts w:hAnsi="Calibri"/>
                          <w:color w:val="44546A" w:themeColor="text2"/>
                          <w:kern w:val="24"/>
                          <w:sz w:val="28"/>
                          <w:szCs w:val="28"/>
                          <w:lang w:val="en-US"/>
                        </w:rPr>
                        <w:t xml:space="preserve">.  </w:t>
                      </w:r>
                    </w:p>
                  </w:txbxContent>
                </v:textbox>
              </v:roundrect>
            </w:pict>
          </mc:Fallback>
        </mc:AlternateContent>
      </w:r>
      <w:r>
        <w:rPr>
          <w:rFonts w:cs="Arial"/>
          <w:szCs w:val="24"/>
        </w:rPr>
        <w:br w:type="page"/>
      </w:r>
      <w:r w:rsidRPr="00C442FD">
        <w:rPr>
          <w:noProof/>
        </w:rPr>
        <mc:AlternateContent>
          <mc:Choice Requires="wps">
            <w:drawing>
              <wp:anchor distT="0" distB="0" distL="114300" distR="114300" simplePos="0" relativeHeight="251662336" behindDoc="0" locked="0" layoutInCell="1" allowOverlap="1" wp14:anchorId="34C92ABA" wp14:editId="2478E96E">
                <wp:simplePos x="0" y="0"/>
                <wp:positionH relativeFrom="column">
                  <wp:posOffset>-177220</wp:posOffset>
                </wp:positionH>
                <wp:positionV relativeFrom="paragraph">
                  <wp:posOffset>1100455</wp:posOffset>
                </wp:positionV>
                <wp:extent cx="1855433" cy="789940"/>
                <wp:effectExtent l="0" t="0" r="12065" b="10160"/>
                <wp:wrapNone/>
                <wp:docPr id="11" name="Rounded Rectangle 10">
                  <a:extLst xmlns:a="http://schemas.openxmlformats.org/drawingml/2006/main">
                    <a:ext uri="{FF2B5EF4-FFF2-40B4-BE49-F238E27FC236}">
                      <a16:creationId xmlns:a16="http://schemas.microsoft.com/office/drawing/2014/main" id="{FE28381E-416C-0045-B5EF-C9B462155476}"/>
                    </a:ext>
                  </a:extLst>
                </wp:docPr>
                <wp:cNvGraphicFramePr/>
                <a:graphic xmlns:a="http://schemas.openxmlformats.org/drawingml/2006/main">
                  <a:graphicData uri="http://schemas.microsoft.com/office/word/2010/wordprocessingShape">
                    <wps:wsp>
                      <wps:cNvSpPr/>
                      <wps:spPr>
                        <a:xfrm>
                          <a:off x="0" y="0"/>
                          <a:ext cx="1855433" cy="789940"/>
                        </a:xfrm>
                        <a:prstGeom prst="roundRect">
                          <a:avLst/>
                        </a:prstGeom>
                        <a:noFill/>
                        <a:ln w="12700" cap="flat" cmpd="sng" algn="ctr">
                          <a:solidFill>
                            <a:srgbClr val="4472C4"/>
                          </a:solidFill>
                          <a:prstDash val="solid"/>
                          <a:miter lim="800000"/>
                        </a:ln>
                        <a:effectLst/>
                      </wps:spPr>
                      <wps:txbx>
                        <w:txbxContent>
                          <w:p w14:paraId="31E2BFAC" w14:textId="77777777" w:rsidR="00A92DB4" w:rsidRPr="00C442FD" w:rsidRDefault="00A92DB4" w:rsidP="00A92DB4">
                            <w:pPr>
                              <w:jc w:val="center"/>
                              <w:rPr>
                                <w:sz w:val="28"/>
                                <w:szCs w:val="28"/>
                              </w:rPr>
                            </w:pPr>
                            <w:r w:rsidRPr="00C442FD">
                              <w:rPr>
                                <w:rFonts w:hAnsi="Calibri"/>
                                <w:b/>
                                <w:bCs/>
                                <w:color w:val="44546A" w:themeColor="text2"/>
                                <w:kern w:val="24"/>
                                <w:sz w:val="28"/>
                                <w:szCs w:val="28"/>
                                <w:lang w:val="en-US"/>
                              </w:rPr>
                              <w:t>Overview &amp; Scrutiny</w:t>
                            </w:r>
                          </w:p>
                        </w:txbxContent>
                      </wps:txbx>
                      <wps:bodyPr wrap="square" rtlCol="0" anchor="ctr"/>
                    </wps:wsp>
                  </a:graphicData>
                </a:graphic>
                <wp14:sizeRelH relativeFrom="margin">
                  <wp14:pctWidth>0</wp14:pctWidth>
                </wp14:sizeRelH>
              </wp:anchor>
            </w:drawing>
          </mc:Choice>
          <mc:Fallback>
            <w:pict>
              <v:roundrect w14:anchorId="34C92ABA" id="Rounded Rectangle 10" o:spid="_x0000_s1027" style="position:absolute;margin-left:-13.95pt;margin-top:86.65pt;width:146.1pt;height:62.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" filled="f" strokecolor="#4472c4" strokeweight="1pt">
                <v:stroke joinstyle="miter"/>
                <v:textbox>
                  <w:txbxContent>
                    <w:p w14:paraId="31E2BFAC" w14:textId="77777777" w:rsidR="00A92DB4" w:rsidRPr="00C442FD" w:rsidRDefault="00A92DB4" w:rsidP="00A92DB4">
                      <w:pPr>
                        <w:jc w:val="center"/>
                        <w:rPr>
                          <w:sz w:val="28"/>
                          <w:szCs w:val="28"/>
                        </w:rPr>
                      </w:pPr>
                      <w:r w:rsidRPr="00C442FD">
                        <w:rPr>
                          <w:rFonts w:hAnsi="Calibri"/>
                          <w:b/>
                          <w:bCs/>
                          <w:color w:val="44546A" w:themeColor="text2"/>
                          <w:kern w:val="24"/>
                          <w:sz w:val="28"/>
                          <w:szCs w:val="28"/>
                          <w:lang w:val="en-US"/>
                        </w:rPr>
                        <w:t>Overview &amp; Scrutiny</w:t>
                      </w:r>
                    </w:p>
                  </w:txbxContent>
                </v:textbox>
              </v:roundrect>
            </w:pict>
          </mc:Fallback>
        </mc:AlternateContent>
      </w:r>
      <w:r w:rsidRPr="00C442FD">
        <w:rPr>
          <w:noProof/>
        </w:rPr>
        <mc:AlternateContent>
          <mc:Choice Requires="wps">
            <w:drawing>
              <wp:anchor distT="0" distB="0" distL="114300" distR="114300" simplePos="0" relativeHeight="251663360" behindDoc="0" locked="0" layoutInCell="1" allowOverlap="1" wp14:anchorId="4D9FDBDB" wp14:editId="08C2318F">
                <wp:simplePos x="0" y="0"/>
                <wp:positionH relativeFrom="column">
                  <wp:posOffset>2023844</wp:posOffset>
                </wp:positionH>
                <wp:positionV relativeFrom="paragraph">
                  <wp:posOffset>3453839</wp:posOffset>
                </wp:positionV>
                <wp:extent cx="1960880" cy="4252404"/>
                <wp:effectExtent l="0" t="0" r="7620" b="15240"/>
                <wp:wrapNone/>
                <wp:docPr id="1" name="Rounded Rectangle 3"/>
                <wp:cNvGraphicFramePr/>
                <a:graphic xmlns:a="http://schemas.openxmlformats.org/drawingml/2006/main">
                  <a:graphicData uri="http://schemas.microsoft.com/office/word/2010/wordprocessingShape">
                    <wps:wsp>
                      <wps:cNvSpPr/>
                      <wps:spPr>
                        <a:xfrm>
                          <a:off x="0" y="0"/>
                          <a:ext cx="1960880" cy="4252404"/>
                        </a:xfrm>
                        <a:prstGeom prst="roundRect">
                          <a:avLst/>
                        </a:prstGeom>
                        <a:noFill/>
                        <a:ln w="12700" cap="flat" cmpd="sng" algn="ctr">
                          <a:solidFill>
                            <a:srgbClr val="4472C4"/>
                          </a:solidFill>
                          <a:prstDash val="solid"/>
                          <a:miter lim="800000"/>
                        </a:ln>
                        <a:effectLst/>
                      </wps:spPr>
                      <wps:txbx>
                        <w:txbxContent>
                          <w:p w14:paraId="62DFEEA4" w14:textId="77777777" w:rsidR="00A92DB4" w:rsidRPr="00C442FD" w:rsidRDefault="00A92DB4" w:rsidP="00A92DB4">
                            <w:pPr>
                              <w:jc w:val="center"/>
                              <w:rPr>
                                <w:sz w:val="28"/>
                                <w:szCs w:val="28"/>
                              </w:rPr>
                            </w:pPr>
                            <w:bookmarkStart w:id="0" w:name="_Hlk120620973"/>
                            <w:r>
                              <w:rPr>
                                <w:rFonts w:hAnsi="Calibri"/>
                                <w:b/>
                                <w:bCs/>
                                <w:color w:val="44546A" w:themeColor="text2"/>
                                <w:kern w:val="24"/>
                                <w:sz w:val="28"/>
                                <w:szCs w:val="28"/>
                                <w:lang w:val="en-US"/>
                              </w:rPr>
                              <w:t xml:space="preserve">Regeneration &amp; Economy Investment </w:t>
                            </w:r>
                            <w:r w:rsidRPr="00C442FD">
                              <w:rPr>
                                <w:rFonts w:hAnsi="Calibri"/>
                                <w:b/>
                                <w:bCs/>
                                <w:color w:val="44546A" w:themeColor="text2"/>
                                <w:kern w:val="24"/>
                                <w:sz w:val="28"/>
                                <w:szCs w:val="28"/>
                                <w:lang w:val="en-US"/>
                              </w:rPr>
                              <w:t>workstream</w:t>
                            </w:r>
                          </w:p>
                          <w:p w14:paraId="43D2FC85" w14:textId="77777777" w:rsidR="00A92DB4" w:rsidRPr="00AF63D7" w:rsidRDefault="00A92DB4" w:rsidP="00A92DB4">
                            <w:pPr>
                              <w:pStyle w:val="ListParagraph"/>
                              <w:numPr>
                                <w:ilvl w:val="0"/>
                                <w:numId w:val="8"/>
                              </w:numPr>
                              <w:rPr>
                                <w:rFonts w:ascii="Arial" w:hAnsi="Arial" w:cs="Arial"/>
                                <w:color w:val="000000" w:themeColor="text1"/>
                                <w:kern w:val="24"/>
                                <w:sz w:val="20"/>
                                <w:szCs w:val="20"/>
                                <w:lang w:val="en-US"/>
                              </w:rPr>
                            </w:pPr>
                            <w:r w:rsidRPr="00AF63D7">
                              <w:rPr>
                                <w:rFonts w:ascii="Arial" w:hAnsi="Arial" w:cs="Arial"/>
                                <w:color w:val="000000" w:themeColor="text1"/>
                                <w:kern w:val="24"/>
                                <w:sz w:val="20"/>
                                <w:szCs w:val="20"/>
                                <w:lang w:val="en-US"/>
                              </w:rPr>
                              <w:t xml:space="preserve">To oversee implementation of the Regeneration </w:t>
                            </w:r>
                            <w:bookmarkEnd w:id="0"/>
                            <w:r w:rsidRPr="00AF63D7">
                              <w:rPr>
                                <w:rFonts w:ascii="Arial" w:hAnsi="Arial" w:cs="Arial"/>
                                <w:color w:val="000000" w:themeColor="text1"/>
                                <w:kern w:val="24"/>
                                <w:sz w:val="20"/>
                                <w:szCs w:val="20"/>
                                <w:lang w:val="en-US"/>
                              </w:rPr>
                              <w:t>Investment Framework</w:t>
                            </w:r>
                          </w:p>
                          <w:p w14:paraId="102E4639" w14:textId="77777777" w:rsidR="00A92DB4" w:rsidRPr="00AF63D7" w:rsidRDefault="00A92DB4" w:rsidP="00A92DB4">
                            <w:pPr>
                              <w:pStyle w:val="ListParagraph"/>
                              <w:numPr>
                                <w:ilvl w:val="0"/>
                                <w:numId w:val="8"/>
                              </w:numPr>
                              <w:rPr>
                                <w:rFonts w:ascii="Arial" w:hAnsi="Arial" w:cs="Arial"/>
                                <w:color w:val="000000" w:themeColor="text1"/>
                                <w:kern w:val="24"/>
                                <w:sz w:val="20"/>
                                <w:szCs w:val="20"/>
                                <w:lang w:val="en-US"/>
                              </w:rPr>
                            </w:pPr>
                            <w:r w:rsidRPr="00AF63D7">
                              <w:rPr>
                                <w:rFonts w:ascii="Arial" w:hAnsi="Arial" w:cs="Arial"/>
                                <w:color w:val="000000" w:themeColor="text1"/>
                                <w:kern w:val="24"/>
                                <w:sz w:val="20"/>
                                <w:szCs w:val="20"/>
                                <w:lang w:val="en-US"/>
                              </w:rPr>
                              <w:t xml:space="preserve">To discuss key issues and risks &amp; ensure effective mitigation measures are in place. </w:t>
                            </w:r>
                          </w:p>
                          <w:p w14:paraId="5A48AC42" w14:textId="77777777" w:rsidR="00A92DB4" w:rsidRPr="00AF63D7" w:rsidRDefault="00A92DB4" w:rsidP="00A92DB4">
                            <w:pPr>
                              <w:pStyle w:val="ListParagraph"/>
                              <w:numPr>
                                <w:ilvl w:val="0"/>
                                <w:numId w:val="8"/>
                              </w:numPr>
                              <w:rPr>
                                <w:rFonts w:ascii="Arial" w:hAnsi="Arial" w:cs="Arial"/>
                                <w:color w:val="000000" w:themeColor="text1"/>
                                <w:kern w:val="24"/>
                                <w:sz w:val="20"/>
                                <w:szCs w:val="20"/>
                                <w:lang w:val="en-US"/>
                              </w:rPr>
                            </w:pPr>
                            <w:r w:rsidRPr="00AF63D7">
                              <w:rPr>
                                <w:rFonts w:ascii="Arial" w:hAnsi="Arial" w:cs="Arial"/>
                                <w:color w:val="000000" w:themeColor="text1"/>
                                <w:kern w:val="24"/>
                                <w:sz w:val="20"/>
                                <w:szCs w:val="20"/>
                                <w:lang w:val="en-US"/>
                              </w:rPr>
                              <w:t xml:space="preserve">Ensure effective links to wider Corporate matters e.g. MTFS etc. </w:t>
                            </w:r>
                          </w:p>
                          <w:p w14:paraId="3105389E" w14:textId="77777777" w:rsidR="00A92DB4" w:rsidRPr="00146466" w:rsidRDefault="00A92DB4" w:rsidP="00A92DB4">
                            <w:pPr>
                              <w:pStyle w:val="ListParagraph"/>
                              <w:numPr>
                                <w:ilvl w:val="0"/>
                                <w:numId w:val="8"/>
                              </w:numPr>
                              <w:rPr>
                                <w:rFonts w:ascii="Arial" w:hAnsi="Arial" w:cs="Arial"/>
                                <w:color w:val="000000" w:themeColor="text1"/>
                                <w:kern w:val="24"/>
                                <w:sz w:val="22"/>
                                <w:szCs w:val="22"/>
                                <w:lang w:val="en-US"/>
                              </w:rPr>
                            </w:pPr>
                            <w:r w:rsidRPr="00AF63D7">
                              <w:rPr>
                                <w:rFonts w:ascii="Arial" w:hAnsi="Arial" w:cs="Arial"/>
                                <w:color w:val="000000" w:themeColor="text1"/>
                                <w:kern w:val="24"/>
                                <w:sz w:val="20"/>
                                <w:szCs w:val="20"/>
                                <w:lang w:val="en-US"/>
                              </w:rPr>
                              <w:t>To provide sufficient officer scrutiny, challenge and support to enable officers to make sound decisions in accordance with their delegated authority</w:t>
                            </w:r>
                            <w:r w:rsidRPr="00146466">
                              <w:rPr>
                                <w:rFonts w:ascii="Arial" w:hAnsi="Arial" w:cs="Arial"/>
                                <w:color w:val="000000" w:themeColor="text1"/>
                                <w:kern w:val="24"/>
                                <w:sz w:val="22"/>
                                <w:szCs w:val="22"/>
                                <w:lang w:val="en-US"/>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D9FDBDB" id="Rounded Rectangle 3" o:spid="_x0000_s1028" style="position:absolute;margin-left:159.35pt;margin-top:271.95pt;width:154.4pt;height:33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" filled="f" strokecolor="#4472c4" strokeweight="1pt">
                <v:stroke joinstyle="miter"/>
                <v:textbox>
                  <w:txbxContent>
                    <w:p w14:paraId="62DFEEA4" w14:textId="77777777" w:rsidR="00A92DB4" w:rsidRPr="00C442FD" w:rsidRDefault="00A92DB4" w:rsidP="00A92DB4">
                      <w:pPr>
                        <w:jc w:val="center"/>
                        <w:rPr>
                          <w:sz w:val="28"/>
                          <w:szCs w:val="28"/>
                        </w:rPr>
                      </w:pPr>
                      <w:bookmarkStart w:id="1" w:name="_Hlk120620973"/>
                      <w:r>
                        <w:rPr>
                          <w:rFonts w:hAnsi="Calibri"/>
                          <w:b/>
                          <w:bCs/>
                          <w:color w:val="44546A" w:themeColor="text2"/>
                          <w:kern w:val="24"/>
                          <w:sz w:val="28"/>
                          <w:szCs w:val="28"/>
                          <w:lang w:val="en-US"/>
                        </w:rPr>
                        <w:t xml:space="preserve">Regeneration &amp; Economy Investment </w:t>
                      </w:r>
                      <w:r w:rsidRPr="00C442FD">
                        <w:rPr>
                          <w:rFonts w:hAnsi="Calibri"/>
                          <w:b/>
                          <w:bCs/>
                          <w:color w:val="44546A" w:themeColor="text2"/>
                          <w:kern w:val="24"/>
                          <w:sz w:val="28"/>
                          <w:szCs w:val="28"/>
                          <w:lang w:val="en-US"/>
                        </w:rPr>
                        <w:t>workstream</w:t>
                      </w:r>
                    </w:p>
                    <w:p w14:paraId="43D2FC85" w14:textId="77777777" w:rsidR="00A92DB4" w:rsidRPr="00AF63D7" w:rsidRDefault="00A92DB4" w:rsidP="00A92DB4">
                      <w:pPr>
                        <w:pStyle w:val="ListParagraph"/>
                        <w:numPr>
                          <w:ilvl w:val="0"/>
                          <w:numId w:val="8"/>
                        </w:numPr>
                        <w:rPr>
                          <w:rFonts w:ascii="Arial" w:hAnsi="Arial" w:cs="Arial"/>
                          <w:color w:val="000000" w:themeColor="text1"/>
                          <w:kern w:val="24"/>
                          <w:sz w:val="20"/>
                          <w:szCs w:val="20"/>
                          <w:lang w:val="en-US"/>
                        </w:rPr>
                      </w:pPr>
                      <w:r w:rsidRPr="00AF63D7">
                        <w:rPr>
                          <w:rFonts w:ascii="Arial" w:hAnsi="Arial" w:cs="Arial"/>
                          <w:color w:val="000000" w:themeColor="text1"/>
                          <w:kern w:val="24"/>
                          <w:sz w:val="20"/>
                          <w:szCs w:val="20"/>
                          <w:lang w:val="en-US"/>
                        </w:rPr>
                        <w:t xml:space="preserve">To oversee implementation of the Regeneration </w:t>
                      </w:r>
                      <w:bookmarkEnd w:id="1"/>
                      <w:r w:rsidRPr="00AF63D7">
                        <w:rPr>
                          <w:rFonts w:ascii="Arial" w:hAnsi="Arial" w:cs="Arial"/>
                          <w:color w:val="000000" w:themeColor="text1"/>
                          <w:kern w:val="24"/>
                          <w:sz w:val="20"/>
                          <w:szCs w:val="20"/>
                          <w:lang w:val="en-US"/>
                        </w:rPr>
                        <w:t>Investment Framework</w:t>
                      </w:r>
                    </w:p>
                    <w:p w14:paraId="102E4639" w14:textId="77777777" w:rsidR="00A92DB4" w:rsidRPr="00AF63D7" w:rsidRDefault="00A92DB4" w:rsidP="00A92DB4">
                      <w:pPr>
                        <w:pStyle w:val="ListParagraph"/>
                        <w:numPr>
                          <w:ilvl w:val="0"/>
                          <w:numId w:val="8"/>
                        </w:numPr>
                        <w:rPr>
                          <w:rFonts w:ascii="Arial" w:hAnsi="Arial" w:cs="Arial"/>
                          <w:color w:val="000000" w:themeColor="text1"/>
                          <w:kern w:val="24"/>
                          <w:sz w:val="20"/>
                          <w:szCs w:val="20"/>
                          <w:lang w:val="en-US"/>
                        </w:rPr>
                      </w:pPr>
                      <w:r w:rsidRPr="00AF63D7">
                        <w:rPr>
                          <w:rFonts w:ascii="Arial" w:hAnsi="Arial" w:cs="Arial"/>
                          <w:color w:val="000000" w:themeColor="text1"/>
                          <w:kern w:val="24"/>
                          <w:sz w:val="20"/>
                          <w:szCs w:val="20"/>
                          <w:lang w:val="en-US"/>
                        </w:rPr>
                        <w:t xml:space="preserve">To discuss key issues and risks &amp; ensure effective mitigation measures are in place. </w:t>
                      </w:r>
                    </w:p>
                    <w:p w14:paraId="5A48AC42" w14:textId="77777777" w:rsidR="00A92DB4" w:rsidRPr="00AF63D7" w:rsidRDefault="00A92DB4" w:rsidP="00A92DB4">
                      <w:pPr>
                        <w:pStyle w:val="ListParagraph"/>
                        <w:numPr>
                          <w:ilvl w:val="0"/>
                          <w:numId w:val="8"/>
                        </w:numPr>
                        <w:rPr>
                          <w:rFonts w:ascii="Arial" w:hAnsi="Arial" w:cs="Arial"/>
                          <w:color w:val="000000" w:themeColor="text1"/>
                          <w:kern w:val="24"/>
                          <w:sz w:val="20"/>
                          <w:szCs w:val="20"/>
                          <w:lang w:val="en-US"/>
                        </w:rPr>
                      </w:pPr>
                      <w:r w:rsidRPr="00AF63D7">
                        <w:rPr>
                          <w:rFonts w:ascii="Arial" w:hAnsi="Arial" w:cs="Arial"/>
                          <w:color w:val="000000" w:themeColor="text1"/>
                          <w:kern w:val="24"/>
                          <w:sz w:val="20"/>
                          <w:szCs w:val="20"/>
                          <w:lang w:val="en-US"/>
                        </w:rPr>
                        <w:t xml:space="preserve">Ensure effective links to wider Corporate matters e.g. MTFS etc. </w:t>
                      </w:r>
                    </w:p>
                    <w:p w14:paraId="3105389E" w14:textId="77777777" w:rsidR="00A92DB4" w:rsidRPr="00146466" w:rsidRDefault="00A92DB4" w:rsidP="00A92DB4">
                      <w:pPr>
                        <w:pStyle w:val="ListParagraph"/>
                        <w:numPr>
                          <w:ilvl w:val="0"/>
                          <w:numId w:val="8"/>
                        </w:numPr>
                        <w:rPr>
                          <w:rFonts w:ascii="Arial" w:hAnsi="Arial" w:cs="Arial"/>
                          <w:color w:val="000000" w:themeColor="text1"/>
                          <w:kern w:val="24"/>
                          <w:sz w:val="22"/>
                          <w:szCs w:val="22"/>
                          <w:lang w:val="en-US"/>
                        </w:rPr>
                      </w:pPr>
                      <w:r w:rsidRPr="00AF63D7">
                        <w:rPr>
                          <w:rFonts w:ascii="Arial" w:hAnsi="Arial" w:cs="Arial"/>
                          <w:color w:val="000000" w:themeColor="text1"/>
                          <w:kern w:val="24"/>
                          <w:sz w:val="20"/>
                          <w:szCs w:val="20"/>
                          <w:lang w:val="en-US"/>
                        </w:rPr>
                        <w:t>To provide sufficient officer scrutiny, challenge and support to enable officers to make sound decisions in accordance with their delegated authority</w:t>
                      </w:r>
                      <w:r w:rsidRPr="00146466">
                        <w:rPr>
                          <w:rFonts w:ascii="Arial" w:hAnsi="Arial" w:cs="Arial"/>
                          <w:color w:val="000000" w:themeColor="text1"/>
                          <w:kern w:val="24"/>
                          <w:sz w:val="22"/>
                          <w:szCs w:val="22"/>
                          <w:lang w:val="en-US"/>
                        </w:rPr>
                        <w:t xml:space="preserve">. </w:t>
                      </w:r>
                    </w:p>
                  </w:txbxContent>
                </v:textbox>
              </v:roundrect>
            </w:pict>
          </mc:Fallback>
        </mc:AlternateContent>
      </w:r>
      <w:r w:rsidRPr="00C442FD">
        <w:rPr>
          <w:noProof/>
        </w:rPr>
        <mc:AlternateContent>
          <mc:Choice Requires="wps">
            <w:drawing>
              <wp:anchor distT="0" distB="0" distL="114300" distR="114300" simplePos="0" relativeHeight="251659264" behindDoc="0" locked="0" layoutInCell="1" allowOverlap="1" wp14:anchorId="1CF3FBFD" wp14:editId="5716E5DC">
                <wp:simplePos x="0" y="0"/>
                <wp:positionH relativeFrom="column">
                  <wp:posOffset>-177553</wp:posOffset>
                </wp:positionH>
                <wp:positionV relativeFrom="paragraph">
                  <wp:posOffset>3401362</wp:posOffset>
                </wp:positionV>
                <wp:extent cx="1908699" cy="4304665"/>
                <wp:effectExtent l="0" t="0" r="9525" b="13335"/>
                <wp:wrapNone/>
                <wp:docPr id="4" name="Rounded Rectangle 3">
                  <a:extLst xmlns:a="http://schemas.openxmlformats.org/drawingml/2006/main">
                    <a:ext uri="{FF2B5EF4-FFF2-40B4-BE49-F238E27FC236}">
                      <a16:creationId xmlns:a16="http://schemas.microsoft.com/office/drawing/2014/main" id="{F78ADAFA-BED7-0C43-9F0F-AADD9715AF8A}"/>
                    </a:ext>
                  </a:extLst>
                </wp:docPr>
                <wp:cNvGraphicFramePr/>
                <a:graphic xmlns:a="http://schemas.openxmlformats.org/drawingml/2006/main">
                  <a:graphicData uri="http://schemas.microsoft.com/office/word/2010/wordprocessingShape">
                    <wps:wsp>
                      <wps:cNvSpPr/>
                      <wps:spPr>
                        <a:xfrm>
                          <a:off x="0" y="0"/>
                          <a:ext cx="1908699" cy="4304665"/>
                        </a:xfrm>
                        <a:prstGeom prst="roundRect">
                          <a:avLst/>
                        </a:prstGeom>
                        <a:noFill/>
                        <a:ln w="12700" cap="flat" cmpd="sng" algn="ctr">
                          <a:solidFill>
                            <a:srgbClr val="4472C4"/>
                          </a:solidFill>
                          <a:prstDash val="solid"/>
                          <a:miter lim="800000"/>
                        </a:ln>
                        <a:effectLst/>
                      </wps:spPr>
                      <wps:txbx>
                        <w:txbxContent>
                          <w:p w14:paraId="3059DAAB" w14:textId="77777777" w:rsidR="00A92DB4" w:rsidRPr="00C442FD" w:rsidRDefault="00A92DB4" w:rsidP="00A92DB4">
                            <w:pPr>
                              <w:jc w:val="center"/>
                              <w:rPr>
                                <w:sz w:val="28"/>
                                <w:szCs w:val="28"/>
                              </w:rPr>
                            </w:pPr>
                            <w:r w:rsidRPr="00C442FD">
                              <w:rPr>
                                <w:rFonts w:hAnsi="Calibri"/>
                                <w:b/>
                                <w:bCs/>
                                <w:color w:val="44546A" w:themeColor="text2"/>
                                <w:kern w:val="24"/>
                                <w:sz w:val="28"/>
                                <w:szCs w:val="28"/>
                                <w:lang w:val="en-US"/>
                              </w:rPr>
                              <w:t>Asset Management workstream</w:t>
                            </w:r>
                          </w:p>
                          <w:p w14:paraId="0226A0BA" w14:textId="77777777" w:rsidR="00A92DB4" w:rsidRPr="00AF63D7" w:rsidRDefault="00A92DB4" w:rsidP="00A92DB4">
                            <w:pPr>
                              <w:pStyle w:val="ListParagraph"/>
                              <w:numPr>
                                <w:ilvl w:val="0"/>
                                <w:numId w:val="8"/>
                              </w:numPr>
                              <w:rPr>
                                <w:rFonts w:ascii="Arial" w:hAnsi="Arial" w:cs="Arial"/>
                                <w:color w:val="000000" w:themeColor="text1"/>
                                <w:sz w:val="20"/>
                                <w:szCs w:val="20"/>
                              </w:rPr>
                            </w:pPr>
                            <w:r w:rsidRPr="00AF63D7">
                              <w:rPr>
                                <w:rFonts w:ascii="Arial" w:hAnsi="Arial" w:cs="Arial"/>
                                <w:color w:val="000000" w:themeColor="text1"/>
                                <w:kern w:val="24"/>
                                <w:sz w:val="20"/>
                                <w:szCs w:val="20"/>
                                <w:lang w:val="en-US"/>
                              </w:rPr>
                              <w:t>To monitor and review the Commercial Investment Portfolio</w:t>
                            </w:r>
                          </w:p>
                          <w:p w14:paraId="1EF0A171" w14:textId="77777777" w:rsidR="00A92DB4" w:rsidRPr="00AF63D7" w:rsidRDefault="00A92DB4" w:rsidP="00A92DB4">
                            <w:pPr>
                              <w:pStyle w:val="ListParagraph"/>
                              <w:numPr>
                                <w:ilvl w:val="0"/>
                                <w:numId w:val="8"/>
                              </w:numPr>
                              <w:rPr>
                                <w:rFonts w:ascii="Arial" w:hAnsi="Arial" w:cs="Arial"/>
                                <w:color w:val="000000" w:themeColor="text1"/>
                                <w:sz w:val="20"/>
                                <w:szCs w:val="20"/>
                              </w:rPr>
                            </w:pPr>
                            <w:r w:rsidRPr="00AF63D7">
                              <w:rPr>
                                <w:rFonts w:ascii="Arial" w:hAnsi="Arial" w:cs="Arial"/>
                                <w:color w:val="000000" w:themeColor="text1"/>
                                <w:kern w:val="24"/>
                                <w:sz w:val="20"/>
                                <w:szCs w:val="20"/>
                                <w:lang w:val="en-US"/>
                              </w:rPr>
                              <w:t xml:space="preserve">To discuss key issues and risks &amp; ensure effective mitigation measures are in place. </w:t>
                            </w:r>
                          </w:p>
                          <w:p w14:paraId="106E236E" w14:textId="77777777" w:rsidR="00A92DB4" w:rsidRPr="00AF63D7" w:rsidRDefault="00A92DB4" w:rsidP="00A92DB4">
                            <w:pPr>
                              <w:pStyle w:val="ListParagraph"/>
                              <w:numPr>
                                <w:ilvl w:val="0"/>
                                <w:numId w:val="8"/>
                              </w:numPr>
                              <w:rPr>
                                <w:rFonts w:ascii="Arial" w:hAnsi="Arial" w:cs="Arial"/>
                                <w:color w:val="000000" w:themeColor="text1"/>
                                <w:sz w:val="20"/>
                                <w:szCs w:val="20"/>
                              </w:rPr>
                            </w:pPr>
                            <w:r w:rsidRPr="00AF63D7">
                              <w:rPr>
                                <w:rFonts w:ascii="Arial" w:hAnsi="Arial" w:cs="Arial"/>
                                <w:color w:val="000000" w:themeColor="text1"/>
                                <w:kern w:val="24"/>
                                <w:sz w:val="20"/>
                                <w:szCs w:val="20"/>
                                <w:lang w:val="en-US"/>
                              </w:rPr>
                              <w:t xml:space="preserve">Ensure effective links to wider Corporate matters e.g. MTFS etc. </w:t>
                            </w:r>
                          </w:p>
                          <w:p w14:paraId="6C51DFFE" w14:textId="77777777" w:rsidR="00A92DB4" w:rsidRPr="00146466" w:rsidRDefault="00A92DB4" w:rsidP="00A92DB4">
                            <w:pPr>
                              <w:pStyle w:val="ListParagraph"/>
                              <w:numPr>
                                <w:ilvl w:val="0"/>
                                <w:numId w:val="8"/>
                              </w:numPr>
                              <w:rPr>
                                <w:rFonts w:ascii="Arial" w:hAnsi="Arial" w:cs="Arial"/>
                                <w:color w:val="000000" w:themeColor="text1"/>
                                <w:sz w:val="22"/>
                                <w:szCs w:val="22"/>
                              </w:rPr>
                            </w:pPr>
                            <w:r w:rsidRPr="00AF63D7">
                              <w:rPr>
                                <w:rFonts w:ascii="Arial" w:hAnsi="Arial" w:cs="Arial"/>
                                <w:color w:val="000000" w:themeColor="text1"/>
                                <w:kern w:val="24"/>
                                <w:sz w:val="20"/>
                                <w:szCs w:val="20"/>
                                <w:lang w:val="en-US"/>
                              </w:rPr>
                              <w:t>To provide sufficient officer scrutiny, challenge and support to enable officers to make sound decisions in accordance with their delegated</w:t>
                            </w:r>
                            <w:r w:rsidRPr="00146466">
                              <w:rPr>
                                <w:rFonts w:ascii="Arial" w:hAnsi="Arial" w:cs="Arial"/>
                                <w:color w:val="000000" w:themeColor="text1"/>
                                <w:kern w:val="24"/>
                                <w:sz w:val="22"/>
                                <w:szCs w:val="22"/>
                                <w:lang w:val="en-US"/>
                              </w:rPr>
                              <w:t xml:space="preserve"> authority.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CF3FBFD" id="_x0000_s1029" style="position:absolute;margin-left:-14pt;margin-top:267.8pt;width:150.3pt;height:3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" filled="f" strokecolor="#4472c4" strokeweight="1pt">
                <v:stroke joinstyle="miter"/>
                <v:textbox>
                  <w:txbxContent>
                    <w:p w14:paraId="3059DAAB" w14:textId="77777777" w:rsidR="00A92DB4" w:rsidRPr="00C442FD" w:rsidRDefault="00A92DB4" w:rsidP="00A92DB4">
                      <w:pPr>
                        <w:jc w:val="center"/>
                        <w:rPr>
                          <w:sz w:val="28"/>
                          <w:szCs w:val="28"/>
                        </w:rPr>
                      </w:pPr>
                      <w:r w:rsidRPr="00C442FD">
                        <w:rPr>
                          <w:rFonts w:hAnsi="Calibri"/>
                          <w:b/>
                          <w:bCs/>
                          <w:color w:val="44546A" w:themeColor="text2"/>
                          <w:kern w:val="24"/>
                          <w:sz w:val="28"/>
                          <w:szCs w:val="28"/>
                          <w:lang w:val="en-US"/>
                        </w:rPr>
                        <w:t>Asset Management workstream</w:t>
                      </w:r>
                    </w:p>
                    <w:p w14:paraId="0226A0BA" w14:textId="77777777" w:rsidR="00A92DB4" w:rsidRPr="00AF63D7" w:rsidRDefault="00A92DB4" w:rsidP="00A92DB4">
                      <w:pPr>
                        <w:pStyle w:val="ListParagraph"/>
                        <w:numPr>
                          <w:ilvl w:val="0"/>
                          <w:numId w:val="8"/>
                        </w:numPr>
                        <w:rPr>
                          <w:rFonts w:ascii="Arial" w:hAnsi="Arial" w:cs="Arial"/>
                          <w:color w:val="000000" w:themeColor="text1"/>
                          <w:sz w:val="20"/>
                          <w:szCs w:val="20"/>
                        </w:rPr>
                      </w:pPr>
                      <w:r w:rsidRPr="00AF63D7">
                        <w:rPr>
                          <w:rFonts w:ascii="Arial" w:hAnsi="Arial" w:cs="Arial"/>
                          <w:color w:val="000000" w:themeColor="text1"/>
                          <w:kern w:val="24"/>
                          <w:sz w:val="20"/>
                          <w:szCs w:val="20"/>
                          <w:lang w:val="en-US"/>
                        </w:rPr>
                        <w:t>To monitor and review the Commercial Investment Portfolio</w:t>
                      </w:r>
                    </w:p>
                    <w:p w14:paraId="1EF0A171" w14:textId="77777777" w:rsidR="00A92DB4" w:rsidRPr="00AF63D7" w:rsidRDefault="00A92DB4" w:rsidP="00A92DB4">
                      <w:pPr>
                        <w:pStyle w:val="ListParagraph"/>
                        <w:numPr>
                          <w:ilvl w:val="0"/>
                          <w:numId w:val="8"/>
                        </w:numPr>
                        <w:rPr>
                          <w:rFonts w:ascii="Arial" w:hAnsi="Arial" w:cs="Arial"/>
                          <w:color w:val="000000" w:themeColor="text1"/>
                          <w:sz w:val="20"/>
                          <w:szCs w:val="20"/>
                        </w:rPr>
                      </w:pPr>
                      <w:r w:rsidRPr="00AF63D7">
                        <w:rPr>
                          <w:rFonts w:ascii="Arial" w:hAnsi="Arial" w:cs="Arial"/>
                          <w:color w:val="000000" w:themeColor="text1"/>
                          <w:kern w:val="24"/>
                          <w:sz w:val="20"/>
                          <w:szCs w:val="20"/>
                          <w:lang w:val="en-US"/>
                        </w:rPr>
                        <w:t xml:space="preserve">To discuss key issues and risks &amp; ensure effective mitigation measures are in place. </w:t>
                      </w:r>
                    </w:p>
                    <w:p w14:paraId="106E236E" w14:textId="77777777" w:rsidR="00A92DB4" w:rsidRPr="00AF63D7" w:rsidRDefault="00A92DB4" w:rsidP="00A92DB4">
                      <w:pPr>
                        <w:pStyle w:val="ListParagraph"/>
                        <w:numPr>
                          <w:ilvl w:val="0"/>
                          <w:numId w:val="8"/>
                        </w:numPr>
                        <w:rPr>
                          <w:rFonts w:ascii="Arial" w:hAnsi="Arial" w:cs="Arial"/>
                          <w:color w:val="000000" w:themeColor="text1"/>
                          <w:sz w:val="20"/>
                          <w:szCs w:val="20"/>
                        </w:rPr>
                      </w:pPr>
                      <w:r w:rsidRPr="00AF63D7">
                        <w:rPr>
                          <w:rFonts w:ascii="Arial" w:hAnsi="Arial" w:cs="Arial"/>
                          <w:color w:val="000000" w:themeColor="text1"/>
                          <w:kern w:val="24"/>
                          <w:sz w:val="20"/>
                          <w:szCs w:val="20"/>
                          <w:lang w:val="en-US"/>
                        </w:rPr>
                        <w:t xml:space="preserve">Ensure effective links to wider Corporate matters e.g. MTFS etc. </w:t>
                      </w:r>
                    </w:p>
                    <w:p w14:paraId="6C51DFFE" w14:textId="77777777" w:rsidR="00A92DB4" w:rsidRPr="00146466" w:rsidRDefault="00A92DB4" w:rsidP="00A92DB4">
                      <w:pPr>
                        <w:pStyle w:val="ListParagraph"/>
                        <w:numPr>
                          <w:ilvl w:val="0"/>
                          <w:numId w:val="8"/>
                        </w:numPr>
                        <w:rPr>
                          <w:rFonts w:ascii="Arial" w:hAnsi="Arial" w:cs="Arial"/>
                          <w:color w:val="000000" w:themeColor="text1"/>
                          <w:sz w:val="22"/>
                          <w:szCs w:val="22"/>
                        </w:rPr>
                      </w:pPr>
                      <w:r w:rsidRPr="00AF63D7">
                        <w:rPr>
                          <w:rFonts w:ascii="Arial" w:hAnsi="Arial" w:cs="Arial"/>
                          <w:color w:val="000000" w:themeColor="text1"/>
                          <w:kern w:val="24"/>
                          <w:sz w:val="20"/>
                          <w:szCs w:val="20"/>
                          <w:lang w:val="en-US"/>
                        </w:rPr>
                        <w:t>To provide sufficient officer scrutiny, challenge and support to enable officers to make sound decisions in accordance with their delegated</w:t>
                      </w:r>
                      <w:r w:rsidRPr="00146466">
                        <w:rPr>
                          <w:rFonts w:ascii="Arial" w:hAnsi="Arial" w:cs="Arial"/>
                          <w:color w:val="000000" w:themeColor="text1"/>
                          <w:kern w:val="24"/>
                          <w:sz w:val="22"/>
                          <w:szCs w:val="22"/>
                          <w:lang w:val="en-US"/>
                        </w:rPr>
                        <w:t xml:space="preserve"> authority. </w:t>
                      </w:r>
                    </w:p>
                  </w:txbxContent>
                </v:textbox>
              </v:roundrect>
            </w:pict>
          </mc:Fallback>
        </mc:AlternateContent>
      </w:r>
      <w:r w:rsidRPr="00C442FD">
        <w:rPr>
          <w:noProof/>
        </w:rPr>
        <mc:AlternateContent>
          <mc:Choice Requires="wps">
            <w:drawing>
              <wp:anchor distT="0" distB="0" distL="114300" distR="114300" simplePos="0" relativeHeight="251664384" behindDoc="0" locked="0" layoutInCell="1" allowOverlap="1" wp14:anchorId="247D17AB" wp14:editId="6E01C06D">
                <wp:simplePos x="0" y="0"/>
                <wp:positionH relativeFrom="column">
                  <wp:posOffset>4295775</wp:posOffset>
                </wp:positionH>
                <wp:positionV relativeFrom="paragraph">
                  <wp:posOffset>3457575</wp:posOffset>
                </wp:positionV>
                <wp:extent cx="1799590" cy="4251960"/>
                <wp:effectExtent l="0" t="0" r="10160" b="15240"/>
                <wp:wrapNone/>
                <wp:docPr id="8" name="Rounded Rectangle 3"/>
                <wp:cNvGraphicFramePr/>
                <a:graphic xmlns:a="http://schemas.openxmlformats.org/drawingml/2006/main">
                  <a:graphicData uri="http://schemas.microsoft.com/office/word/2010/wordprocessingShape">
                    <wps:wsp>
                      <wps:cNvSpPr/>
                      <wps:spPr>
                        <a:xfrm>
                          <a:off x="0" y="0"/>
                          <a:ext cx="1799590" cy="4251960"/>
                        </a:xfrm>
                        <a:prstGeom prst="roundRect">
                          <a:avLst/>
                        </a:prstGeom>
                        <a:noFill/>
                        <a:ln w="12700" cap="flat" cmpd="sng" algn="ctr">
                          <a:solidFill>
                            <a:srgbClr val="4472C4"/>
                          </a:solidFill>
                          <a:prstDash val="solid"/>
                          <a:miter lim="800000"/>
                        </a:ln>
                        <a:effectLst/>
                      </wps:spPr>
                      <wps:txbx>
                        <w:txbxContent>
                          <w:p w14:paraId="1C0AF37C" w14:textId="77777777" w:rsidR="00A92DB4" w:rsidRDefault="00A92DB4" w:rsidP="00A92DB4">
                            <w:pPr>
                              <w:rPr>
                                <w:rFonts w:hAnsi="Calibri"/>
                                <w:b/>
                                <w:bCs/>
                                <w:color w:val="44546A" w:themeColor="text2"/>
                                <w:kern w:val="24"/>
                                <w:sz w:val="28"/>
                                <w:szCs w:val="28"/>
                                <w:lang w:val="en-US"/>
                              </w:rPr>
                            </w:pPr>
                            <w:r>
                              <w:rPr>
                                <w:rFonts w:hAnsi="Calibri"/>
                                <w:b/>
                                <w:bCs/>
                                <w:color w:val="44546A" w:themeColor="text2"/>
                                <w:kern w:val="24"/>
                                <w:sz w:val="28"/>
                                <w:szCs w:val="28"/>
                                <w:lang w:val="en-US"/>
                              </w:rPr>
                              <w:t xml:space="preserve">Other </w:t>
                            </w:r>
                            <w:r w:rsidRPr="00C442FD">
                              <w:rPr>
                                <w:rFonts w:hAnsi="Calibri"/>
                                <w:b/>
                                <w:bCs/>
                                <w:color w:val="44546A" w:themeColor="text2"/>
                                <w:kern w:val="24"/>
                                <w:sz w:val="28"/>
                                <w:szCs w:val="28"/>
                                <w:lang w:val="en-US"/>
                              </w:rPr>
                              <w:t>workstream</w:t>
                            </w:r>
                            <w:r>
                              <w:rPr>
                                <w:rFonts w:hAnsi="Calibri"/>
                                <w:b/>
                                <w:bCs/>
                                <w:color w:val="44546A" w:themeColor="text2"/>
                                <w:kern w:val="24"/>
                                <w:sz w:val="28"/>
                                <w:szCs w:val="28"/>
                                <w:lang w:val="en-US"/>
                              </w:rPr>
                              <w:t>s</w:t>
                            </w:r>
                          </w:p>
                          <w:p w14:paraId="6B2B9836" w14:textId="77777777" w:rsidR="00A92DB4" w:rsidRDefault="00A92DB4" w:rsidP="00A92DB4">
                            <w:pPr>
                              <w:rPr>
                                <w:rFonts w:hAnsi="Calibri"/>
                                <w:b/>
                                <w:bCs/>
                                <w:color w:val="44546A" w:themeColor="text2"/>
                                <w:kern w:val="24"/>
                                <w:sz w:val="28"/>
                                <w:szCs w:val="28"/>
                                <w:lang w:val="en-US"/>
                              </w:rPr>
                            </w:pPr>
                          </w:p>
                          <w:p w14:paraId="027B4A5B" w14:textId="77777777" w:rsidR="00A92DB4" w:rsidRDefault="00A92DB4" w:rsidP="00A92DB4">
                            <w:pPr>
                              <w:rPr>
                                <w:sz w:val="28"/>
                                <w:szCs w:val="28"/>
                              </w:rPr>
                            </w:pPr>
                            <w:r>
                              <w:rPr>
                                <w:rFonts w:cs="Arial"/>
                                <w:color w:val="000000" w:themeColor="text1"/>
                                <w:kern w:val="24"/>
                                <w:sz w:val="20"/>
                                <w:lang w:val="en-US"/>
                              </w:rPr>
                              <w:t>Finance (Treasury)</w:t>
                            </w:r>
                          </w:p>
                          <w:p w14:paraId="4EE0268D" w14:textId="77777777" w:rsidR="00A92DB4" w:rsidRDefault="00A92DB4" w:rsidP="00A92DB4">
                            <w:pPr>
                              <w:jc w:val="center"/>
                              <w:rPr>
                                <w:sz w:val="28"/>
                                <w:szCs w:val="28"/>
                              </w:rPr>
                            </w:pPr>
                          </w:p>
                          <w:p w14:paraId="0833D07C" w14:textId="77777777" w:rsidR="00A92DB4" w:rsidRDefault="00A92DB4" w:rsidP="00A92DB4">
                            <w:pPr>
                              <w:jc w:val="center"/>
                              <w:rPr>
                                <w:sz w:val="28"/>
                                <w:szCs w:val="28"/>
                              </w:rPr>
                            </w:pPr>
                          </w:p>
                          <w:p w14:paraId="46D1E6AF" w14:textId="77777777" w:rsidR="00A92DB4" w:rsidRDefault="00A92DB4" w:rsidP="00A92DB4">
                            <w:pPr>
                              <w:jc w:val="center"/>
                              <w:rPr>
                                <w:sz w:val="28"/>
                                <w:szCs w:val="28"/>
                              </w:rPr>
                            </w:pPr>
                          </w:p>
                          <w:p w14:paraId="7D8BA5E8" w14:textId="77777777" w:rsidR="00A92DB4" w:rsidRDefault="00A92DB4" w:rsidP="00A92DB4">
                            <w:pPr>
                              <w:jc w:val="center"/>
                              <w:rPr>
                                <w:sz w:val="28"/>
                                <w:szCs w:val="28"/>
                              </w:rPr>
                            </w:pPr>
                          </w:p>
                          <w:p w14:paraId="7168A96B" w14:textId="77777777" w:rsidR="00A92DB4" w:rsidRDefault="00A92DB4" w:rsidP="00A92DB4">
                            <w:pPr>
                              <w:jc w:val="center"/>
                              <w:rPr>
                                <w:sz w:val="28"/>
                                <w:szCs w:val="28"/>
                              </w:rPr>
                            </w:pPr>
                          </w:p>
                          <w:p w14:paraId="57385CB0" w14:textId="77777777" w:rsidR="00A92DB4" w:rsidRDefault="00A92DB4" w:rsidP="00A92DB4">
                            <w:pPr>
                              <w:jc w:val="center"/>
                              <w:rPr>
                                <w:sz w:val="28"/>
                                <w:szCs w:val="28"/>
                              </w:rPr>
                            </w:pPr>
                          </w:p>
                          <w:p w14:paraId="2848BEA8" w14:textId="77777777" w:rsidR="00A92DB4" w:rsidRDefault="00A92DB4" w:rsidP="00A92DB4">
                            <w:pPr>
                              <w:jc w:val="center"/>
                              <w:rPr>
                                <w:sz w:val="28"/>
                                <w:szCs w:val="28"/>
                              </w:rPr>
                            </w:pPr>
                          </w:p>
                          <w:p w14:paraId="09C6EA08" w14:textId="77777777" w:rsidR="00A92DB4" w:rsidRDefault="00A92DB4" w:rsidP="00A92DB4">
                            <w:pPr>
                              <w:jc w:val="center"/>
                              <w:rPr>
                                <w:sz w:val="28"/>
                                <w:szCs w:val="28"/>
                              </w:rPr>
                            </w:pPr>
                          </w:p>
                          <w:p w14:paraId="2F0CF4D2" w14:textId="77777777" w:rsidR="00A92DB4" w:rsidRPr="0008017D" w:rsidRDefault="00A92DB4" w:rsidP="00A92DB4">
                            <w:pPr>
                              <w:jc w:val="center"/>
                              <w:rPr>
                                <w:sz w:val="28"/>
                                <w:szCs w:val="2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47D17AB" id="_x0000_s1030" style="position:absolute;margin-left:338.25pt;margin-top:272.25pt;width:141.7pt;height:3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" filled="f" strokecolor="#4472c4" strokeweight="1pt">
                <v:stroke joinstyle="miter"/>
                <v:textbox>
                  <w:txbxContent>
                    <w:p w14:paraId="1C0AF37C" w14:textId="77777777" w:rsidR="00A92DB4" w:rsidRDefault="00A92DB4" w:rsidP="00A92DB4">
                      <w:pPr>
                        <w:rPr>
                          <w:rFonts w:hAnsi="Calibri"/>
                          <w:b/>
                          <w:bCs/>
                          <w:color w:val="44546A" w:themeColor="text2"/>
                          <w:kern w:val="24"/>
                          <w:sz w:val="28"/>
                          <w:szCs w:val="28"/>
                          <w:lang w:val="en-US"/>
                        </w:rPr>
                      </w:pPr>
                      <w:r>
                        <w:rPr>
                          <w:rFonts w:hAnsi="Calibri"/>
                          <w:b/>
                          <w:bCs/>
                          <w:color w:val="44546A" w:themeColor="text2"/>
                          <w:kern w:val="24"/>
                          <w:sz w:val="28"/>
                          <w:szCs w:val="28"/>
                          <w:lang w:val="en-US"/>
                        </w:rPr>
                        <w:t xml:space="preserve">Other </w:t>
                      </w:r>
                      <w:r w:rsidRPr="00C442FD">
                        <w:rPr>
                          <w:rFonts w:hAnsi="Calibri"/>
                          <w:b/>
                          <w:bCs/>
                          <w:color w:val="44546A" w:themeColor="text2"/>
                          <w:kern w:val="24"/>
                          <w:sz w:val="28"/>
                          <w:szCs w:val="28"/>
                          <w:lang w:val="en-US"/>
                        </w:rPr>
                        <w:t>workstream</w:t>
                      </w:r>
                      <w:r>
                        <w:rPr>
                          <w:rFonts w:hAnsi="Calibri"/>
                          <w:b/>
                          <w:bCs/>
                          <w:color w:val="44546A" w:themeColor="text2"/>
                          <w:kern w:val="24"/>
                          <w:sz w:val="28"/>
                          <w:szCs w:val="28"/>
                          <w:lang w:val="en-US"/>
                        </w:rPr>
                        <w:t>s</w:t>
                      </w:r>
                    </w:p>
                    <w:p w14:paraId="6B2B9836" w14:textId="77777777" w:rsidR="00A92DB4" w:rsidRDefault="00A92DB4" w:rsidP="00A92DB4">
                      <w:pPr>
                        <w:rPr>
                          <w:rFonts w:hAnsi="Calibri"/>
                          <w:b/>
                          <w:bCs/>
                          <w:color w:val="44546A" w:themeColor="text2"/>
                          <w:kern w:val="24"/>
                          <w:sz w:val="28"/>
                          <w:szCs w:val="28"/>
                          <w:lang w:val="en-US"/>
                        </w:rPr>
                      </w:pPr>
                    </w:p>
                    <w:p w14:paraId="027B4A5B" w14:textId="77777777" w:rsidR="00A92DB4" w:rsidRDefault="00A92DB4" w:rsidP="00A92DB4">
                      <w:pPr>
                        <w:rPr>
                          <w:sz w:val="28"/>
                          <w:szCs w:val="28"/>
                        </w:rPr>
                      </w:pPr>
                      <w:r>
                        <w:rPr>
                          <w:rFonts w:cs="Arial"/>
                          <w:color w:val="000000" w:themeColor="text1"/>
                          <w:kern w:val="24"/>
                          <w:sz w:val="20"/>
                          <w:lang w:val="en-US"/>
                        </w:rPr>
                        <w:t>Finance (Treasury)</w:t>
                      </w:r>
                    </w:p>
                    <w:p w14:paraId="4EE0268D" w14:textId="77777777" w:rsidR="00A92DB4" w:rsidRDefault="00A92DB4" w:rsidP="00A92DB4">
                      <w:pPr>
                        <w:jc w:val="center"/>
                        <w:rPr>
                          <w:sz w:val="28"/>
                          <w:szCs w:val="28"/>
                        </w:rPr>
                      </w:pPr>
                    </w:p>
                    <w:p w14:paraId="0833D07C" w14:textId="77777777" w:rsidR="00A92DB4" w:rsidRDefault="00A92DB4" w:rsidP="00A92DB4">
                      <w:pPr>
                        <w:jc w:val="center"/>
                        <w:rPr>
                          <w:sz w:val="28"/>
                          <w:szCs w:val="28"/>
                        </w:rPr>
                      </w:pPr>
                    </w:p>
                    <w:p w14:paraId="46D1E6AF" w14:textId="77777777" w:rsidR="00A92DB4" w:rsidRDefault="00A92DB4" w:rsidP="00A92DB4">
                      <w:pPr>
                        <w:jc w:val="center"/>
                        <w:rPr>
                          <w:sz w:val="28"/>
                          <w:szCs w:val="28"/>
                        </w:rPr>
                      </w:pPr>
                    </w:p>
                    <w:p w14:paraId="7D8BA5E8" w14:textId="77777777" w:rsidR="00A92DB4" w:rsidRDefault="00A92DB4" w:rsidP="00A92DB4">
                      <w:pPr>
                        <w:jc w:val="center"/>
                        <w:rPr>
                          <w:sz w:val="28"/>
                          <w:szCs w:val="28"/>
                        </w:rPr>
                      </w:pPr>
                    </w:p>
                    <w:p w14:paraId="7168A96B" w14:textId="77777777" w:rsidR="00A92DB4" w:rsidRDefault="00A92DB4" w:rsidP="00A92DB4">
                      <w:pPr>
                        <w:jc w:val="center"/>
                        <w:rPr>
                          <w:sz w:val="28"/>
                          <w:szCs w:val="28"/>
                        </w:rPr>
                      </w:pPr>
                    </w:p>
                    <w:p w14:paraId="57385CB0" w14:textId="77777777" w:rsidR="00A92DB4" w:rsidRDefault="00A92DB4" w:rsidP="00A92DB4">
                      <w:pPr>
                        <w:jc w:val="center"/>
                        <w:rPr>
                          <w:sz w:val="28"/>
                          <w:szCs w:val="28"/>
                        </w:rPr>
                      </w:pPr>
                    </w:p>
                    <w:p w14:paraId="2848BEA8" w14:textId="77777777" w:rsidR="00A92DB4" w:rsidRDefault="00A92DB4" w:rsidP="00A92DB4">
                      <w:pPr>
                        <w:jc w:val="center"/>
                        <w:rPr>
                          <w:sz w:val="28"/>
                          <w:szCs w:val="28"/>
                        </w:rPr>
                      </w:pPr>
                    </w:p>
                    <w:p w14:paraId="09C6EA08" w14:textId="77777777" w:rsidR="00A92DB4" w:rsidRDefault="00A92DB4" w:rsidP="00A92DB4">
                      <w:pPr>
                        <w:jc w:val="center"/>
                        <w:rPr>
                          <w:sz w:val="28"/>
                          <w:szCs w:val="28"/>
                        </w:rPr>
                      </w:pPr>
                    </w:p>
                    <w:p w14:paraId="2F0CF4D2" w14:textId="77777777" w:rsidR="00A92DB4" w:rsidRPr="0008017D" w:rsidRDefault="00A92DB4" w:rsidP="00A92DB4">
                      <w:pPr>
                        <w:jc w:val="center"/>
                        <w:rPr>
                          <w:sz w:val="28"/>
                          <w:szCs w:val="28"/>
                        </w:rPr>
                      </w:pPr>
                    </w:p>
                  </w:txbxContent>
                </v:textbox>
              </v:roundrect>
            </w:pict>
          </mc:Fallback>
        </mc:AlternateContent>
      </w:r>
      <w:r w:rsidRPr="00C442FD">
        <w:rPr>
          <w:noProof/>
        </w:rPr>
        <mc:AlternateContent>
          <mc:Choice Requires="wps">
            <w:drawing>
              <wp:anchor distT="0" distB="0" distL="114300" distR="114300" simplePos="0" relativeHeight="251661312" behindDoc="0" locked="0" layoutInCell="1" allowOverlap="1" wp14:anchorId="54401679" wp14:editId="39AB09FB">
                <wp:simplePos x="0" y="0"/>
                <wp:positionH relativeFrom="column">
                  <wp:posOffset>2146935</wp:posOffset>
                </wp:positionH>
                <wp:positionV relativeFrom="paragraph">
                  <wp:posOffset>248285</wp:posOffset>
                </wp:positionV>
                <wp:extent cx="1908632" cy="789940"/>
                <wp:effectExtent l="0" t="0" r="9525" b="10160"/>
                <wp:wrapNone/>
                <wp:docPr id="7" name="Rounded Rectangle 6">
                  <a:extLst xmlns:a="http://schemas.openxmlformats.org/drawingml/2006/main">
                    <a:ext uri="{FF2B5EF4-FFF2-40B4-BE49-F238E27FC236}">
                      <a16:creationId xmlns:a16="http://schemas.microsoft.com/office/drawing/2014/main" id="{FBC09948-5529-B049-B053-0F46CF1EBA08}"/>
                    </a:ext>
                  </a:extLst>
                </wp:docPr>
                <wp:cNvGraphicFramePr/>
                <a:graphic xmlns:a="http://schemas.openxmlformats.org/drawingml/2006/main">
                  <a:graphicData uri="http://schemas.microsoft.com/office/word/2010/wordprocessingShape">
                    <wps:wsp>
                      <wps:cNvSpPr/>
                      <wps:spPr>
                        <a:xfrm>
                          <a:off x="0" y="0"/>
                          <a:ext cx="1908632" cy="789940"/>
                        </a:xfrm>
                        <a:prstGeom prst="roundRect">
                          <a:avLst/>
                        </a:prstGeom>
                        <a:noFill/>
                        <a:ln w="12700" cap="flat" cmpd="sng" algn="ctr">
                          <a:solidFill>
                            <a:srgbClr val="4472C4"/>
                          </a:solidFill>
                          <a:prstDash val="solid"/>
                          <a:miter lim="800000"/>
                        </a:ln>
                        <a:effectLst/>
                      </wps:spPr>
                      <wps:txbx>
                        <w:txbxContent>
                          <w:p w14:paraId="1F18F3CF" w14:textId="77777777" w:rsidR="00A92DB4" w:rsidRPr="00C442FD" w:rsidRDefault="00A92DB4" w:rsidP="00A92DB4">
                            <w:pPr>
                              <w:jc w:val="center"/>
                              <w:rPr>
                                <w:sz w:val="28"/>
                                <w:szCs w:val="28"/>
                              </w:rPr>
                            </w:pPr>
                            <w:r w:rsidRPr="00C442FD">
                              <w:rPr>
                                <w:rFonts w:hAnsi="Calibri"/>
                                <w:b/>
                                <w:bCs/>
                                <w:color w:val="44546A" w:themeColor="text2"/>
                                <w:kern w:val="24"/>
                                <w:sz w:val="28"/>
                                <w:szCs w:val="28"/>
                                <w:lang w:val="en-US"/>
                              </w:rPr>
                              <w:t>Cabinet</w:t>
                            </w:r>
                          </w:p>
                        </w:txbxContent>
                      </wps:txbx>
                      <wps:bodyPr wrap="square" rtlCol="0" anchor="ctr"/>
                    </wps:wsp>
                  </a:graphicData>
                </a:graphic>
                <wp14:sizeRelH relativeFrom="margin">
                  <wp14:pctWidth>0</wp14:pctWidth>
                </wp14:sizeRelH>
              </wp:anchor>
            </w:drawing>
          </mc:Choice>
          <mc:Fallback>
            <w:pict>
              <v:roundrect w14:anchorId="54401679" id="Rounded Rectangle 6" o:spid="_x0000_s1031" style="position:absolute;margin-left:169.05pt;margin-top:19.55pt;width:150.3pt;height:6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" filled="f" strokecolor="#4472c4" strokeweight="1pt">
                <v:stroke joinstyle="miter"/>
                <v:textbox>
                  <w:txbxContent>
                    <w:p w14:paraId="1F18F3CF" w14:textId="77777777" w:rsidR="00A92DB4" w:rsidRPr="00C442FD" w:rsidRDefault="00A92DB4" w:rsidP="00A92DB4">
                      <w:pPr>
                        <w:jc w:val="center"/>
                        <w:rPr>
                          <w:sz w:val="28"/>
                          <w:szCs w:val="28"/>
                        </w:rPr>
                      </w:pPr>
                      <w:r w:rsidRPr="00C442FD">
                        <w:rPr>
                          <w:rFonts w:hAnsi="Calibri"/>
                          <w:b/>
                          <w:bCs/>
                          <w:color w:val="44546A" w:themeColor="text2"/>
                          <w:kern w:val="24"/>
                          <w:sz w:val="28"/>
                          <w:szCs w:val="28"/>
                          <w:lang w:val="en-US"/>
                        </w:rPr>
                        <w:t>Cabinet</w:t>
                      </w:r>
                    </w:p>
                  </w:txbxContent>
                </v:textbox>
              </v:roundrect>
            </w:pict>
          </mc:Fallback>
        </mc:AlternateContent>
      </w:r>
    </w:p>
    <w:p w14:paraId="16ABCD83" w14:textId="77777777" w:rsidR="00A92DB4" w:rsidRDefault="00A92DB4" w:rsidP="00A92DB4">
      <w:pPr>
        <w:rPr>
          <w:rFonts w:cs="Arial"/>
          <w:szCs w:val="24"/>
        </w:rPr>
        <w:sectPr w:rsidR="00A92DB4" w:rsidSect="000750F4">
          <w:headerReference w:type="even" r:id="rId13"/>
          <w:footerReference w:type="default" r:id="rId14"/>
          <w:pgSz w:w="12240" w:h="15840"/>
          <w:pgMar w:top="1440" w:right="1800" w:bottom="1440" w:left="1800" w:header="720" w:footer="720" w:gutter="0"/>
          <w:cols w:space="720"/>
          <w:docGrid w:linePitch="326"/>
        </w:sectPr>
      </w:pPr>
    </w:p>
    <w:p w14:paraId="57F7C752" w14:textId="77777777" w:rsidR="00A92DB4" w:rsidRPr="003122A3" w:rsidRDefault="00A92DB4" w:rsidP="00A92DB4">
      <w:pPr>
        <w:numPr>
          <w:ilvl w:val="0"/>
          <w:numId w:val="6"/>
        </w:numPr>
        <w:rPr>
          <w:rFonts w:cs="Arial"/>
          <w:b/>
          <w:bCs/>
          <w:sz w:val="32"/>
          <w:szCs w:val="32"/>
        </w:rPr>
      </w:pPr>
      <w:r w:rsidRPr="003122A3">
        <w:rPr>
          <w:rFonts w:cs="Arial"/>
          <w:b/>
          <w:bCs/>
          <w:sz w:val="32"/>
          <w:szCs w:val="32"/>
        </w:rPr>
        <w:t>Group Workstreams</w:t>
      </w:r>
    </w:p>
    <w:p w14:paraId="57A67F7C" w14:textId="77777777" w:rsidR="00A92DB4" w:rsidRPr="00402C13" w:rsidRDefault="00A92DB4" w:rsidP="00A92DB4">
      <w:pPr>
        <w:numPr>
          <w:ilvl w:val="12"/>
          <w:numId w:val="0"/>
        </w:numPr>
        <w:rPr>
          <w:rFonts w:cs="Arial"/>
          <w:sz w:val="16"/>
          <w:szCs w:val="16"/>
        </w:rPr>
      </w:pPr>
    </w:p>
    <w:p w14:paraId="2975AB10" w14:textId="77777777" w:rsidR="00A92DB4" w:rsidRPr="003122A3" w:rsidRDefault="00A92DB4" w:rsidP="00A92DB4">
      <w:pPr>
        <w:numPr>
          <w:ilvl w:val="1"/>
          <w:numId w:val="6"/>
        </w:numPr>
        <w:spacing w:before="100" w:beforeAutospacing="1" w:after="100" w:afterAutospacing="1" w:line="259" w:lineRule="auto"/>
        <w:contextualSpacing/>
        <w:rPr>
          <w:rFonts w:cs="Arial"/>
          <w:color w:val="000000"/>
          <w:sz w:val="22"/>
          <w:szCs w:val="22"/>
          <w:lang w:eastAsia="en-US"/>
        </w:rPr>
      </w:pPr>
      <w:r w:rsidRPr="003122A3">
        <w:rPr>
          <w:rFonts w:cs="Arial"/>
          <w:color w:val="000000"/>
          <w:sz w:val="22"/>
          <w:szCs w:val="22"/>
          <w:lang w:eastAsia="en-US"/>
        </w:rPr>
        <w:t>The below diagram outlines the scope of the high level workstreams within the scope of the Asset Management Review Group.</w:t>
      </w:r>
    </w:p>
    <w:p w14:paraId="223057AF" w14:textId="77777777" w:rsidR="00A92DB4" w:rsidRPr="00402C13" w:rsidRDefault="00A92DB4" w:rsidP="00A92DB4">
      <w:pPr>
        <w:numPr>
          <w:ilvl w:val="12"/>
          <w:numId w:val="0"/>
        </w:numPr>
        <w:jc w:val="both"/>
        <w:rPr>
          <w:rFonts w:cs="Arial"/>
          <w:sz w:val="22"/>
          <w:szCs w:val="22"/>
        </w:rPr>
      </w:pPr>
    </w:p>
    <w:p w14:paraId="33A0AA5E" w14:textId="77777777" w:rsidR="00A92DB4" w:rsidRDefault="00A92DB4" w:rsidP="00A92DB4">
      <w:pPr>
        <w:numPr>
          <w:ilvl w:val="12"/>
          <w:numId w:val="0"/>
        </w:numPr>
        <w:ind w:left="-1134"/>
        <w:jc w:val="both"/>
        <w:rPr>
          <w:rFonts w:cs="Arial"/>
          <w:szCs w:val="24"/>
        </w:rPr>
      </w:pPr>
    </w:p>
    <w:p w14:paraId="35B4B12A" w14:textId="77777777" w:rsidR="00A92DB4" w:rsidRDefault="00A92DB4" w:rsidP="00A92DB4">
      <w:pPr>
        <w:rPr>
          <w:rFonts w:cs="Arial"/>
          <w:szCs w:val="24"/>
        </w:rPr>
        <w:sectPr w:rsidR="00A92DB4" w:rsidSect="000750F4">
          <w:pgSz w:w="15840" w:h="12240" w:orient="landscape"/>
          <w:pgMar w:top="1800" w:right="1440" w:bottom="1800" w:left="1440" w:header="720" w:footer="720" w:gutter="0"/>
          <w:cols w:space="720"/>
          <w:docGrid w:linePitch="326"/>
        </w:sectPr>
      </w:pPr>
      <w:r>
        <w:rPr>
          <w:rFonts w:cs="Arial"/>
          <w:noProof/>
          <w:szCs w:val="24"/>
        </w:rPr>
        <w:drawing>
          <wp:inline distT="0" distB="0" distL="0" distR="0" wp14:anchorId="71AABCD8" wp14:editId="3E1BA26E">
            <wp:extent cx="8289925" cy="4147820"/>
            <wp:effectExtent l="0" t="0" r="0" b="24130"/>
            <wp:docPr id="196" name="Organisation Chart 1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FFD6A01" w14:textId="77777777" w:rsidR="00A92DB4" w:rsidRPr="003122A3" w:rsidRDefault="00A92DB4" w:rsidP="00A92DB4">
      <w:pPr>
        <w:numPr>
          <w:ilvl w:val="0"/>
          <w:numId w:val="6"/>
        </w:numPr>
        <w:rPr>
          <w:rFonts w:cs="Arial"/>
          <w:b/>
          <w:bCs/>
          <w:sz w:val="32"/>
          <w:szCs w:val="32"/>
        </w:rPr>
      </w:pPr>
      <w:r w:rsidRPr="003122A3">
        <w:rPr>
          <w:rFonts w:cs="Arial"/>
          <w:b/>
          <w:bCs/>
          <w:sz w:val="32"/>
          <w:szCs w:val="32"/>
        </w:rPr>
        <w:t>Group Membership, Frequency and Purpose</w:t>
      </w:r>
    </w:p>
    <w:p w14:paraId="67D888B8" w14:textId="77777777" w:rsidR="00A92DB4" w:rsidRDefault="00A92DB4" w:rsidP="00A92DB4">
      <w:pPr>
        <w:numPr>
          <w:ilvl w:val="12"/>
          <w:numId w:val="0"/>
        </w:numPr>
        <w:jc w:val="both"/>
        <w:rPr>
          <w:rFonts w:cs="Arial"/>
          <w:b/>
          <w:bCs/>
          <w:szCs w:val="24"/>
        </w:rPr>
      </w:pPr>
    </w:p>
    <w:p w14:paraId="7901EB75" w14:textId="77777777" w:rsidR="00A92DB4" w:rsidRDefault="00A92DB4" w:rsidP="00A92DB4">
      <w:pPr>
        <w:numPr>
          <w:ilvl w:val="12"/>
          <w:numId w:val="0"/>
        </w:numPr>
        <w:spacing w:before="100" w:beforeAutospacing="1" w:after="100" w:afterAutospacing="1" w:line="259" w:lineRule="auto"/>
        <w:ind w:firstLine="720"/>
        <w:contextualSpacing/>
        <w:jc w:val="both"/>
        <w:rPr>
          <w:rFonts w:cs="Arial"/>
          <w:color w:val="000000"/>
          <w:sz w:val="22"/>
          <w:szCs w:val="22"/>
          <w:lang w:eastAsia="en-US"/>
        </w:rPr>
      </w:pPr>
      <w:r w:rsidRPr="008773B3">
        <w:rPr>
          <w:rFonts w:cs="Arial"/>
          <w:color w:val="000000"/>
          <w:sz w:val="22"/>
          <w:szCs w:val="22"/>
          <w:lang w:eastAsia="en-US"/>
        </w:rPr>
        <w:t>The following process highlights the decision- making process.</w:t>
      </w:r>
    </w:p>
    <w:p w14:paraId="59B2E7EE" w14:textId="77777777" w:rsidR="00A92DB4" w:rsidRPr="008773B3" w:rsidRDefault="00A92DB4" w:rsidP="00A92DB4">
      <w:pPr>
        <w:numPr>
          <w:ilvl w:val="12"/>
          <w:numId w:val="0"/>
        </w:numPr>
        <w:spacing w:before="100" w:beforeAutospacing="1" w:after="100" w:afterAutospacing="1" w:line="259" w:lineRule="auto"/>
        <w:contextualSpacing/>
        <w:jc w:val="both"/>
        <w:rPr>
          <w:rFonts w:cs="Arial"/>
          <w:szCs w:val="24"/>
        </w:rPr>
      </w:pPr>
    </w:p>
    <w:p w14:paraId="3F787C30" w14:textId="77777777" w:rsidR="00A92DB4" w:rsidRPr="00681F16" w:rsidRDefault="00A92DB4" w:rsidP="00A92DB4">
      <w:pPr>
        <w:numPr>
          <w:ilvl w:val="12"/>
          <w:numId w:val="0"/>
        </w:numPr>
        <w:pBdr>
          <w:top w:val="single" w:sz="4" w:space="1" w:color="auto"/>
          <w:left w:val="single" w:sz="4" w:space="4" w:color="auto"/>
          <w:bottom w:val="single" w:sz="4" w:space="1" w:color="auto"/>
          <w:right w:val="single" w:sz="4" w:space="4" w:color="auto"/>
        </w:pBdr>
        <w:shd w:val="clear" w:color="auto" w:fill="0070C0"/>
        <w:jc w:val="both"/>
        <w:rPr>
          <w:rFonts w:cs="Arial"/>
          <w:b/>
          <w:color w:val="FFFFFF"/>
          <w:szCs w:val="24"/>
        </w:rPr>
      </w:pPr>
      <w:bookmarkStart w:id="2" w:name="_Hlk118980472"/>
      <w:r>
        <w:rPr>
          <w:rFonts w:cs="Arial"/>
          <w:b/>
          <w:color w:val="FFFFFF"/>
          <w:szCs w:val="24"/>
        </w:rPr>
        <w:t>Asset Management Officer</w:t>
      </w:r>
      <w:r w:rsidRPr="00681F16">
        <w:rPr>
          <w:rFonts w:cs="Arial"/>
          <w:b/>
          <w:color w:val="FFFFFF"/>
          <w:szCs w:val="24"/>
        </w:rPr>
        <w:t xml:space="preserve"> Group</w:t>
      </w:r>
    </w:p>
    <w:p w14:paraId="0C411867" w14:textId="77777777" w:rsidR="00A92DB4" w:rsidRPr="00686E41"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sz w:val="16"/>
          <w:szCs w:val="16"/>
        </w:rPr>
      </w:pPr>
    </w:p>
    <w:p w14:paraId="3851EE87" w14:textId="77777777" w:rsidR="00A92DB4"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b/>
          <w:sz w:val="20"/>
        </w:rPr>
      </w:pPr>
      <w:r w:rsidRPr="00686E41">
        <w:rPr>
          <w:rFonts w:cs="Arial"/>
          <w:b/>
          <w:sz w:val="20"/>
        </w:rPr>
        <w:t>Decision Making:</w:t>
      </w:r>
      <w:r w:rsidRPr="00686E41">
        <w:rPr>
          <w:rFonts w:cs="Arial"/>
          <w:b/>
          <w:sz w:val="20"/>
        </w:rPr>
        <w:tab/>
      </w:r>
      <w:r w:rsidRPr="00686E41">
        <w:rPr>
          <w:rFonts w:cs="Arial"/>
          <w:b/>
          <w:sz w:val="20"/>
        </w:rPr>
        <w:tab/>
      </w:r>
      <w:r w:rsidRPr="00686E41">
        <w:rPr>
          <w:rFonts w:cs="Arial"/>
          <w:b/>
          <w:sz w:val="20"/>
        </w:rPr>
        <w:tab/>
      </w:r>
      <w:r w:rsidRPr="00686E41">
        <w:rPr>
          <w:rFonts w:cs="Arial"/>
          <w:b/>
          <w:sz w:val="20"/>
        </w:rPr>
        <w:tab/>
      </w:r>
      <w:r w:rsidRPr="00686E41">
        <w:rPr>
          <w:rFonts w:cs="Arial"/>
          <w:b/>
          <w:sz w:val="20"/>
        </w:rPr>
        <w:tab/>
      </w:r>
      <w:r w:rsidRPr="00686E41">
        <w:rPr>
          <w:rFonts w:cs="Arial"/>
          <w:b/>
          <w:sz w:val="20"/>
        </w:rPr>
        <w:tab/>
      </w:r>
      <w:r>
        <w:rPr>
          <w:rFonts w:cs="Arial"/>
          <w:b/>
          <w:sz w:val="20"/>
        </w:rPr>
        <w:t>Yes</w:t>
      </w:r>
    </w:p>
    <w:p w14:paraId="3A3872FB" w14:textId="77777777" w:rsidR="00A92DB4"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b/>
          <w:sz w:val="20"/>
        </w:rPr>
      </w:pPr>
    </w:p>
    <w:p w14:paraId="229FDB08" w14:textId="77777777" w:rsidR="00A92DB4"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b/>
          <w:sz w:val="20"/>
        </w:rPr>
      </w:pPr>
      <w:r>
        <w:rPr>
          <w:rFonts w:cs="Arial"/>
          <w:b/>
          <w:sz w:val="20"/>
        </w:rPr>
        <w:t>Delegated Authority</w:t>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t>Yes</w:t>
      </w:r>
      <w:r>
        <w:rPr>
          <w:rFonts w:cs="Arial"/>
          <w:b/>
          <w:sz w:val="20"/>
        </w:rPr>
        <w:tab/>
        <w:t>Clare Chester</w:t>
      </w:r>
    </w:p>
    <w:p w14:paraId="69A27F32" w14:textId="77777777" w:rsidR="00A92DB4"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b/>
          <w:sz w:val="20"/>
        </w:rPr>
      </w:pPr>
    </w:p>
    <w:p w14:paraId="19F69156" w14:textId="77777777" w:rsidR="00A92DB4" w:rsidRPr="00686E41"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b/>
          <w:sz w:val="20"/>
        </w:rPr>
      </w:pPr>
      <w:r>
        <w:rPr>
          <w:rFonts w:cs="Arial"/>
          <w:b/>
          <w:sz w:val="20"/>
        </w:rPr>
        <w:t>Delegated Authority Threshold:</w:t>
      </w:r>
      <w:r>
        <w:rPr>
          <w:rFonts w:cs="Arial"/>
          <w:b/>
          <w:sz w:val="20"/>
        </w:rPr>
        <w:tab/>
      </w:r>
      <w:r>
        <w:rPr>
          <w:rFonts w:cs="Arial"/>
          <w:b/>
          <w:sz w:val="20"/>
        </w:rPr>
        <w:tab/>
      </w:r>
      <w:r>
        <w:rPr>
          <w:rFonts w:cs="Arial"/>
          <w:b/>
          <w:sz w:val="20"/>
        </w:rPr>
        <w:tab/>
      </w:r>
      <w:r>
        <w:rPr>
          <w:rFonts w:cs="Arial"/>
          <w:b/>
          <w:sz w:val="20"/>
        </w:rPr>
        <w:tab/>
        <w:t>Up to £250k</w:t>
      </w:r>
    </w:p>
    <w:p w14:paraId="23324080" w14:textId="77777777" w:rsidR="00A92DB4" w:rsidRPr="00686E41"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b/>
          <w:sz w:val="16"/>
          <w:szCs w:val="16"/>
        </w:rPr>
      </w:pPr>
    </w:p>
    <w:p w14:paraId="59E12113" w14:textId="77777777" w:rsidR="00A92DB4"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b/>
          <w:sz w:val="20"/>
        </w:rPr>
      </w:pPr>
    </w:p>
    <w:p w14:paraId="2CBEC70C" w14:textId="77777777" w:rsidR="00A92DB4" w:rsidRPr="00686E41"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b/>
          <w:sz w:val="20"/>
        </w:rPr>
      </w:pPr>
      <w:r w:rsidRPr="00686E41">
        <w:rPr>
          <w:rFonts w:cs="Arial"/>
          <w:b/>
          <w:sz w:val="20"/>
        </w:rPr>
        <w:t>Frequency:</w:t>
      </w:r>
      <w:r w:rsidRPr="00686E41">
        <w:rPr>
          <w:rFonts w:cs="Arial"/>
          <w:b/>
          <w:sz w:val="20"/>
        </w:rPr>
        <w:tab/>
      </w:r>
      <w:r w:rsidRPr="00686E41">
        <w:rPr>
          <w:rFonts w:cs="Arial"/>
          <w:b/>
          <w:sz w:val="20"/>
        </w:rPr>
        <w:tab/>
      </w:r>
      <w:r w:rsidRPr="00686E41">
        <w:rPr>
          <w:rFonts w:cs="Arial"/>
          <w:b/>
          <w:sz w:val="20"/>
        </w:rPr>
        <w:tab/>
      </w:r>
      <w:r w:rsidRPr="00686E41">
        <w:rPr>
          <w:rFonts w:cs="Arial"/>
          <w:b/>
          <w:sz w:val="20"/>
        </w:rPr>
        <w:tab/>
      </w:r>
      <w:r w:rsidRPr="00686E41">
        <w:rPr>
          <w:rFonts w:cs="Arial"/>
          <w:b/>
          <w:sz w:val="20"/>
        </w:rPr>
        <w:tab/>
      </w:r>
      <w:r w:rsidRPr="00686E41">
        <w:rPr>
          <w:rFonts w:cs="Arial"/>
          <w:b/>
          <w:sz w:val="20"/>
        </w:rPr>
        <w:tab/>
      </w:r>
      <w:r w:rsidRPr="00686E41">
        <w:rPr>
          <w:rFonts w:cs="Arial"/>
          <w:b/>
          <w:sz w:val="20"/>
        </w:rPr>
        <w:tab/>
      </w:r>
      <w:r>
        <w:rPr>
          <w:rFonts w:cs="Arial"/>
          <w:b/>
          <w:sz w:val="20"/>
        </w:rPr>
        <w:t>4</w:t>
      </w:r>
      <w:r w:rsidRPr="00686E41">
        <w:rPr>
          <w:rFonts w:cs="Arial"/>
          <w:b/>
          <w:sz w:val="20"/>
        </w:rPr>
        <w:t xml:space="preserve"> Weeks</w:t>
      </w:r>
    </w:p>
    <w:p w14:paraId="2DE6D57A" w14:textId="77777777" w:rsidR="00A92DB4" w:rsidRPr="00CA7746"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sz w:val="16"/>
          <w:szCs w:val="16"/>
        </w:rPr>
      </w:pPr>
    </w:p>
    <w:p w14:paraId="0B98730E" w14:textId="77777777" w:rsidR="00A92DB4" w:rsidRPr="00D35180"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b/>
          <w:sz w:val="20"/>
        </w:rPr>
      </w:pPr>
      <w:r w:rsidRPr="00D35180">
        <w:rPr>
          <w:rFonts w:cs="Arial"/>
          <w:b/>
          <w:sz w:val="20"/>
        </w:rPr>
        <w:t>Purpose</w:t>
      </w:r>
    </w:p>
    <w:p w14:paraId="7282895E" w14:textId="77777777" w:rsidR="00A92DB4" w:rsidRDefault="00A92DB4" w:rsidP="00A92DB4">
      <w:pPr>
        <w:numPr>
          <w:ilvl w:val="12"/>
          <w:numId w:val="0"/>
        </w:numPr>
        <w:pBdr>
          <w:top w:val="single" w:sz="4" w:space="1" w:color="auto"/>
          <w:left w:val="single" w:sz="4" w:space="4" w:color="auto"/>
          <w:bottom w:val="single" w:sz="4" w:space="1" w:color="auto"/>
          <w:right w:val="single" w:sz="4" w:space="4" w:color="auto"/>
        </w:pBdr>
        <w:rPr>
          <w:rFonts w:cs="Arial"/>
          <w:sz w:val="20"/>
        </w:rPr>
      </w:pPr>
      <w:r w:rsidRPr="00686E41">
        <w:rPr>
          <w:rFonts w:cs="Arial"/>
          <w:sz w:val="20"/>
        </w:rPr>
        <w:t>Internal EHDC delivery group charged with delivering and managing the project including programme, financial and legal workstreams. Leader and Chief Executive to have standing invitation. External advisers to be invited as required.</w:t>
      </w:r>
    </w:p>
    <w:p w14:paraId="14DCDE93" w14:textId="77777777" w:rsidR="00A92DB4" w:rsidRDefault="00A92DB4" w:rsidP="00A92DB4">
      <w:pPr>
        <w:numPr>
          <w:ilvl w:val="12"/>
          <w:numId w:val="0"/>
        </w:numPr>
        <w:pBdr>
          <w:top w:val="single" w:sz="4" w:space="1" w:color="auto"/>
          <w:left w:val="single" w:sz="4" w:space="4" w:color="auto"/>
          <w:bottom w:val="single" w:sz="4" w:space="1" w:color="auto"/>
          <w:right w:val="single" w:sz="4" w:space="4" w:color="auto"/>
        </w:pBdr>
        <w:rPr>
          <w:rFonts w:cs="Arial"/>
          <w:sz w:val="20"/>
        </w:rPr>
      </w:pPr>
    </w:p>
    <w:p w14:paraId="785377F4" w14:textId="77777777" w:rsidR="00A92DB4" w:rsidRDefault="00A92DB4" w:rsidP="00A92DB4">
      <w:pPr>
        <w:numPr>
          <w:ilvl w:val="12"/>
          <w:numId w:val="0"/>
        </w:numPr>
        <w:pBdr>
          <w:top w:val="single" w:sz="4" w:space="1" w:color="auto"/>
          <w:left w:val="single" w:sz="4" w:space="4" w:color="auto"/>
          <w:bottom w:val="single" w:sz="4" w:space="1" w:color="auto"/>
          <w:right w:val="single" w:sz="4" w:space="4" w:color="auto"/>
        </w:pBdr>
        <w:rPr>
          <w:rFonts w:cs="Arial"/>
          <w:sz w:val="20"/>
        </w:rPr>
      </w:pPr>
      <w:r>
        <w:rPr>
          <w:rFonts w:cs="Arial"/>
          <w:sz w:val="20"/>
        </w:rPr>
        <w:t>Membership:</w:t>
      </w:r>
    </w:p>
    <w:p w14:paraId="352DC194" w14:textId="77777777" w:rsidR="00A92DB4" w:rsidRDefault="00A92DB4" w:rsidP="00A92DB4">
      <w:pPr>
        <w:numPr>
          <w:ilvl w:val="12"/>
          <w:numId w:val="0"/>
        </w:numPr>
        <w:pBdr>
          <w:top w:val="single" w:sz="4" w:space="1" w:color="auto"/>
          <w:left w:val="single" w:sz="4" w:space="4" w:color="auto"/>
          <w:bottom w:val="single" w:sz="4" w:space="1" w:color="auto"/>
          <w:right w:val="single" w:sz="4" w:space="4" w:color="auto"/>
        </w:pBdr>
        <w:rPr>
          <w:rFonts w:cs="Arial"/>
          <w:sz w:val="20"/>
        </w:rPr>
      </w:pPr>
    </w:p>
    <w:p w14:paraId="37682102" w14:textId="77777777" w:rsidR="00A92DB4" w:rsidRDefault="00A92DB4" w:rsidP="00A92DB4">
      <w:pPr>
        <w:numPr>
          <w:ilvl w:val="12"/>
          <w:numId w:val="0"/>
        </w:numPr>
        <w:pBdr>
          <w:top w:val="single" w:sz="4" w:space="1" w:color="auto"/>
          <w:left w:val="single" w:sz="4" w:space="4" w:color="auto"/>
          <w:bottom w:val="single" w:sz="4" w:space="1" w:color="auto"/>
          <w:right w:val="single" w:sz="4" w:space="4" w:color="auto"/>
        </w:pBdr>
        <w:ind w:firstLine="720"/>
        <w:rPr>
          <w:rFonts w:cs="Arial"/>
          <w:sz w:val="20"/>
        </w:rPr>
      </w:pPr>
      <w:r>
        <w:rPr>
          <w:rFonts w:cs="Arial"/>
          <w:sz w:val="20"/>
        </w:rPr>
        <w:t>Clare Chester</w:t>
      </w:r>
    </w:p>
    <w:p w14:paraId="30C72630" w14:textId="77777777" w:rsidR="00A92DB4" w:rsidRDefault="00A92DB4" w:rsidP="00A92DB4">
      <w:pPr>
        <w:numPr>
          <w:ilvl w:val="12"/>
          <w:numId w:val="0"/>
        </w:numPr>
        <w:pBdr>
          <w:top w:val="single" w:sz="4" w:space="1" w:color="auto"/>
          <w:left w:val="single" w:sz="4" w:space="4" w:color="auto"/>
          <w:bottom w:val="single" w:sz="4" w:space="1" w:color="auto"/>
          <w:right w:val="single" w:sz="4" w:space="4" w:color="auto"/>
        </w:pBdr>
        <w:ind w:firstLine="720"/>
        <w:rPr>
          <w:rFonts w:cs="Arial"/>
          <w:sz w:val="20"/>
        </w:rPr>
      </w:pPr>
      <w:r>
        <w:rPr>
          <w:rFonts w:cs="Arial"/>
          <w:sz w:val="20"/>
        </w:rPr>
        <w:t>Simon Ellis</w:t>
      </w:r>
    </w:p>
    <w:p w14:paraId="6310DED2" w14:textId="77777777" w:rsidR="00A92DB4" w:rsidRDefault="00A92DB4" w:rsidP="00A92DB4">
      <w:pPr>
        <w:numPr>
          <w:ilvl w:val="12"/>
          <w:numId w:val="0"/>
        </w:numPr>
        <w:pBdr>
          <w:top w:val="single" w:sz="4" w:space="1" w:color="auto"/>
          <w:left w:val="single" w:sz="4" w:space="4" w:color="auto"/>
          <w:bottom w:val="single" w:sz="4" w:space="1" w:color="auto"/>
          <w:right w:val="single" w:sz="4" w:space="4" w:color="auto"/>
        </w:pBdr>
        <w:ind w:firstLine="720"/>
        <w:rPr>
          <w:rFonts w:cs="Arial"/>
          <w:sz w:val="20"/>
        </w:rPr>
      </w:pPr>
      <w:r>
        <w:rPr>
          <w:rFonts w:cs="Arial"/>
          <w:sz w:val="20"/>
        </w:rPr>
        <w:t xml:space="preserve">Alan Harrison </w:t>
      </w:r>
    </w:p>
    <w:p w14:paraId="194100E6" w14:textId="77777777" w:rsidR="00A92DB4" w:rsidRDefault="00A92DB4" w:rsidP="00A92DB4">
      <w:pPr>
        <w:pBdr>
          <w:top w:val="single" w:sz="4" w:space="1" w:color="auto"/>
          <w:left w:val="single" w:sz="4" w:space="4" w:color="auto"/>
          <w:bottom w:val="single" w:sz="4" w:space="1" w:color="auto"/>
          <w:right w:val="single" w:sz="4" w:space="4" w:color="auto"/>
        </w:pBdr>
        <w:ind w:firstLine="720"/>
        <w:rPr>
          <w:rFonts w:cs="Arial"/>
          <w:sz w:val="20"/>
        </w:rPr>
      </w:pPr>
      <w:r w:rsidRPr="59FCE872">
        <w:rPr>
          <w:rFonts w:cs="Arial"/>
          <w:sz w:val="20"/>
        </w:rPr>
        <w:t>David Humphrey</w:t>
      </w:r>
    </w:p>
    <w:p w14:paraId="6DCC2C87" w14:textId="77777777" w:rsidR="00A92DB4" w:rsidRDefault="00A92DB4" w:rsidP="00A92DB4">
      <w:pPr>
        <w:numPr>
          <w:ilvl w:val="12"/>
          <w:numId w:val="0"/>
        </w:numPr>
        <w:pBdr>
          <w:top w:val="single" w:sz="4" w:space="1" w:color="auto"/>
          <w:left w:val="single" w:sz="4" w:space="4" w:color="auto"/>
          <w:bottom w:val="single" w:sz="4" w:space="1" w:color="auto"/>
          <w:right w:val="single" w:sz="4" w:space="4" w:color="auto"/>
        </w:pBdr>
        <w:ind w:firstLine="720"/>
        <w:rPr>
          <w:rFonts w:cs="Arial"/>
          <w:sz w:val="20"/>
        </w:rPr>
      </w:pPr>
      <w:r>
        <w:rPr>
          <w:rFonts w:cs="Arial"/>
          <w:sz w:val="20"/>
        </w:rPr>
        <w:t>Simon Jenkins</w:t>
      </w:r>
    </w:p>
    <w:p w14:paraId="4CD520FE" w14:textId="77777777" w:rsidR="00A92DB4" w:rsidRDefault="00A92DB4" w:rsidP="00A92DB4">
      <w:pPr>
        <w:numPr>
          <w:ilvl w:val="12"/>
          <w:numId w:val="0"/>
        </w:numPr>
        <w:pBdr>
          <w:top w:val="single" w:sz="4" w:space="1" w:color="auto"/>
          <w:left w:val="single" w:sz="4" w:space="4" w:color="auto"/>
          <w:bottom w:val="single" w:sz="4" w:space="1" w:color="auto"/>
          <w:right w:val="single" w:sz="4" w:space="4" w:color="auto"/>
        </w:pBdr>
        <w:ind w:firstLine="720"/>
        <w:rPr>
          <w:rFonts w:cs="Arial"/>
          <w:sz w:val="20"/>
        </w:rPr>
      </w:pPr>
      <w:r>
        <w:rPr>
          <w:rFonts w:cs="Arial"/>
          <w:sz w:val="20"/>
        </w:rPr>
        <w:t>Matthew Tiller</w:t>
      </w:r>
    </w:p>
    <w:p w14:paraId="275F841F" w14:textId="77777777" w:rsidR="00A92DB4" w:rsidRDefault="00A92DB4" w:rsidP="00A92DB4">
      <w:pPr>
        <w:numPr>
          <w:ilvl w:val="12"/>
          <w:numId w:val="0"/>
        </w:numPr>
        <w:pBdr>
          <w:top w:val="single" w:sz="4" w:space="1" w:color="auto"/>
          <w:left w:val="single" w:sz="4" w:space="4" w:color="auto"/>
          <w:bottom w:val="single" w:sz="4" w:space="1" w:color="auto"/>
          <w:right w:val="single" w:sz="4" w:space="4" w:color="auto"/>
        </w:pBdr>
        <w:rPr>
          <w:rFonts w:cs="Arial"/>
          <w:sz w:val="20"/>
        </w:rPr>
      </w:pPr>
      <w:r>
        <w:rPr>
          <w:rFonts w:cs="Arial"/>
          <w:sz w:val="20"/>
        </w:rPr>
        <w:tab/>
        <w:t>Neil Gorman</w:t>
      </w:r>
    </w:p>
    <w:p w14:paraId="165C568E" w14:textId="77777777" w:rsidR="00A92DB4" w:rsidRPr="00CA7746" w:rsidRDefault="00A92DB4" w:rsidP="00A92DB4">
      <w:pPr>
        <w:numPr>
          <w:ilvl w:val="12"/>
          <w:numId w:val="0"/>
        </w:numPr>
        <w:pBdr>
          <w:top w:val="single" w:sz="4" w:space="1" w:color="auto"/>
          <w:left w:val="single" w:sz="4" w:space="4" w:color="auto"/>
          <w:bottom w:val="single" w:sz="4" w:space="1" w:color="auto"/>
          <w:right w:val="single" w:sz="4" w:space="4" w:color="auto"/>
        </w:pBdr>
        <w:rPr>
          <w:rFonts w:cs="Arial"/>
          <w:sz w:val="16"/>
          <w:szCs w:val="16"/>
        </w:rPr>
      </w:pPr>
    </w:p>
    <w:p w14:paraId="6F714F63" w14:textId="77777777" w:rsidR="00A92DB4" w:rsidRDefault="00A92DB4" w:rsidP="00A92DB4">
      <w:pPr>
        <w:numPr>
          <w:ilvl w:val="12"/>
          <w:numId w:val="0"/>
        </w:numPr>
        <w:jc w:val="both"/>
        <w:rPr>
          <w:rFonts w:cs="Arial"/>
          <w:sz w:val="22"/>
          <w:szCs w:val="22"/>
        </w:rPr>
      </w:pPr>
    </w:p>
    <w:bookmarkEnd w:id="2"/>
    <w:p w14:paraId="68FF85F1" w14:textId="77777777" w:rsidR="00A92DB4" w:rsidRDefault="00A92DB4" w:rsidP="00A92DB4">
      <w:pPr>
        <w:numPr>
          <w:ilvl w:val="12"/>
          <w:numId w:val="0"/>
        </w:numPr>
        <w:jc w:val="both"/>
        <w:rPr>
          <w:rFonts w:cs="Arial"/>
          <w:sz w:val="22"/>
          <w:szCs w:val="22"/>
        </w:rPr>
      </w:pPr>
    </w:p>
    <w:p w14:paraId="2DC26DDB" w14:textId="77777777" w:rsidR="00A92DB4" w:rsidRPr="00681F16" w:rsidRDefault="00A92DB4" w:rsidP="00A92DB4">
      <w:pPr>
        <w:numPr>
          <w:ilvl w:val="12"/>
          <w:numId w:val="0"/>
        </w:numPr>
        <w:pBdr>
          <w:top w:val="single" w:sz="4" w:space="1" w:color="auto"/>
          <w:left w:val="single" w:sz="4" w:space="4" w:color="auto"/>
          <w:right w:val="single" w:sz="4" w:space="4" w:color="auto"/>
        </w:pBdr>
        <w:shd w:val="clear" w:color="auto" w:fill="0070C0"/>
        <w:jc w:val="both"/>
        <w:rPr>
          <w:rFonts w:cs="Arial"/>
          <w:b/>
          <w:color w:val="FFFFFF"/>
          <w:szCs w:val="24"/>
        </w:rPr>
      </w:pPr>
      <w:r>
        <w:rPr>
          <w:rFonts w:cs="Arial"/>
          <w:b/>
          <w:color w:val="FFFFFF"/>
          <w:szCs w:val="24"/>
        </w:rPr>
        <w:t>Strategy</w:t>
      </w:r>
      <w:r w:rsidRPr="00681F16">
        <w:rPr>
          <w:rFonts w:cs="Arial"/>
          <w:b/>
          <w:color w:val="FFFFFF"/>
          <w:szCs w:val="24"/>
        </w:rPr>
        <w:t xml:space="preserve"> Board </w:t>
      </w:r>
    </w:p>
    <w:p w14:paraId="16FD3557" w14:textId="77777777" w:rsidR="00A92DB4" w:rsidRPr="00686E41"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sz w:val="16"/>
          <w:szCs w:val="16"/>
        </w:rPr>
      </w:pPr>
    </w:p>
    <w:p w14:paraId="0AF408B9" w14:textId="77777777" w:rsidR="00A92DB4" w:rsidRPr="00686E41"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b/>
          <w:sz w:val="20"/>
        </w:rPr>
      </w:pPr>
      <w:r>
        <w:rPr>
          <w:rFonts w:cs="Arial"/>
          <w:b/>
          <w:sz w:val="20"/>
        </w:rPr>
        <w:t>Decision Making:</w:t>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t>No</w:t>
      </w:r>
    </w:p>
    <w:p w14:paraId="4EFF6AF0" w14:textId="77777777" w:rsidR="00A92DB4" w:rsidRPr="00CA7746"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b/>
          <w:sz w:val="16"/>
          <w:szCs w:val="16"/>
        </w:rPr>
      </w:pPr>
    </w:p>
    <w:p w14:paraId="37B648D6" w14:textId="77777777" w:rsidR="00A92DB4" w:rsidRPr="00686E41"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b/>
          <w:sz w:val="20"/>
        </w:rPr>
      </w:pPr>
      <w:r w:rsidRPr="00686E41">
        <w:rPr>
          <w:rFonts w:cs="Arial"/>
          <w:b/>
          <w:sz w:val="20"/>
        </w:rPr>
        <w:t>Frequency:</w:t>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t>Weekly</w:t>
      </w:r>
    </w:p>
    <w:p w14:paraId="671516CD" w14:textId="77777777" w:rsidR="00A92DB4"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sz w:val="16"/>
          <w:szCs w:val="16"/>
        </w:rPr>
      </w:pPr>
    </w:p>
    <w:p w14:paraId="2F18A73E" w14:textId="77777777" w:rsidR="00A92DB4" w:rsidRPr="00D35180"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b/>
          <w:sz w:val="20"/>
        </w:rPr>
      </w:pPr>
      <w:r w:rsidRPr="00D35180">
        <w:rPr>
          <w:rFonts w:cs="Arial"/>
          <w:b/>
          <w:sz w:val="20"/>
        </w:rPr>
        <w:t>Purpose</w:t>
      </w:r>
    </w:p>
    <w:p w14:paraId="5FD4B729" w14:textId="77777777" w:rsidR="00A92DB4" w:rsidRDefault="00A92DB4" w:rsidP="00A92DB4">
      <w:pPr>
        <w:numPr>
          <w:ilvl w:val="12"/>
          <w:numId w:val="0"/>
        </w:numPr>
        <w:pBdr>
          <w:top w:val="single" w:sz="4" w:space="1" w:color="auto"/>
          <w:left w:val="single" w:sz="4" w:space="4" w:color="auto"/>
          <w:bottom w:val="single" w:sz="4" w:space="1" w:color="auto"/>
          <w:right w:val="single" w:sz="4" w:space="4" w:color="auto"/>
        </w:pBdr>
        <w:rPr>
          <w:rFonts w:cs="Arial"/>
          <w:sz w:val="20"/>
        </w:rPr>
      </w:pPr>
      <w:r w:rsidRPr="00686E41">
        <w:rPr>
          <w:rFonts w:cs="Arial"/>
          <w:sz w:val="20"/>
        </w:rPr>
        <w:t>Matters pertaining to corporate project and programme interests. Required before Cabinet meeting</w:t>
      </w:r>
    </w:p>
    <w:p w14:paraId="7E837E3A" w14:textId="77777777" w:rsidR="00A92DB4" w:rsidRPr="008773B3" w:rsidRDefault="00A92DB4" w:rsidP="00A92DB4">
      <w:pPr>
        <w:numPr>
          <w:ilvl w:val="12"/>
          <w:numId w:val="0"/>
        </w:numPr>
        <w:pBdr>
          <w:top w:val="single" w:sz="4" w:space="1" w:color="auto"/>
          <w:left w:val="single" w:sz="4" w:space="4" w:color="auto"/>
          <w:bottom w:val="single" w:sz="4" w:space="1" w:color="auto"/>
          <w:right w:val="single" w:sz="4" w:space="4" w:color="auto"/>
        </w:pBdr>
        <w:rPr>
          <w:rFonts w:cs="Arial"/>
          <w:sz w:val="16"/>
          <w:szCs w:val="16"/>
        </w:rPr>
      </w:pPr>
    </w:p>
    <w:p w14:paraId="158E6B36" w14:textId="77777777" w:rsidR="00A92DB4" w:rsidRPr="00E0746D" w:rsidRDefault="00A92DB4" w:rsidP="00A92DB4">
      <w:pPr>
        <w:numPr>
          <w:ilvl w:val="12"/>
          <w:numId w:val="0"/>
        </w:numPr>
        <w:pBdr>
          <w:top w:val="single" w:sz="4" w:space="1" w:color="auto"/>
          <w:left w:val="single" w:sz="4" w:space="4" w:color="auto"/>
          <w:bottom w:val="single" w:sz="4" w:space="1" w:color="auto"/>
          <w:right w:val="single" w:sz="4" w:space="4" w:color="auto"/>
        </w:pBdr>
        <w:rPr>
          <w:rFonts w:cs="Arial"/>
          <w:sz w:val="20"/>
        </w:rPr>
      </w:pPr>
      <w:r w:rsidRPr="00E0746D">
        <w:rPr>
          <w:rFonts w:cs="Arial"/>
          <w:sz w:val="20"/>
        </w:rPr>
        <w:t>•</w:t>
      </w:r>
      <w:r w:rsidRPr="00E0746D">
        <w:rPr>
          <w:rFonts w:cs="Arial"/>
          <w:sz w:val="20"/>
        </w:rPr>
        <w:tab/>
        <w:t>to provide leadership and direction to drive forward high-quality performance</w:t>
      </w:r>
    </w:p>
    <w:p w14:paraId="13B3BF13" w14:textId="77777777" w:rsidR="00A92DB4" w:rsidRPr="00E0746D" w:rsidRDefault="00A92DB4" w:rsidP="00A92DB4">
      <w:pPr>
        <w:numPr>
          <w:ilvl w:val="12"/>
          <w:numId w:val="0"/>
        </w:numPr>
        <w:pBdr>
          <w:top w:val="single" w:sz="4" w:space="1" w:color="auto"/>
          <w:left w:val="single" w:sz="4" w:space="4" w:color="auto"/>
          <w:bottom w:val="single" w:sz="4" w:space="1" w:color="auto"/>
          <w:right w:val="single" w:sz="4" w:space="4" w:color="auto"/>
        </w:pBdr>
        <w:ind w:left="720" w:hanging="720"/>
        <w:rPr>
          <w:rFonts w:cs="Arial"/>
          <w:sz w:val="20"/>
        </w:rPr>
      </w:pPr>
      <w:r w:rsidRPr="00E0746D">
        <w:rPr>
          <w:rFonts w:cs="Arial"/>
          <w:sz w:val="20"/>
        </w:rPr>
        <w:t>•</w:t>
      </w:r>
      <w:r w:rsidRPr="00E0746D">
        <w:rPr>
          <w:rFonts w:cs="Arial"/>
          <w:sz w:val="20"/>
        </w:rPr>
        <w:tab/>
        <w:t>to ensure the strategic direction and core values of the councils are embedded into day-to-day business</w:t>
      </w:r>
    </w:p>
    <w:p w14:paraId="71B6082D" w14:textId="77777777" w:rsidR="00A92DB4" w:rsidRPr="00E0746D" w:rsidRDefault="00A92DB4" w:rsidP="00A92DB4">
      <w:pPr>
        <w:numPr>
          <w:ilvl w:val="12"/>
          <w:numId w:val="0"/>
        </w:numPr>
        <w:pBdr>
          <w:top w:val="single" w:sz="4" w:space="1" w:color="auto"/>
          <w:left w:val="single" w:sz="4" w:space="4" w:color="auto"/>
          <w:bottom w:val="single" w:sz="4" w:space="1" w:color="auto"/>
          <w:right w:val="single" w:sz="4" w:space="4" w:color="auto"/>
        </w:pBdr>
        <w:rPr>
          <w:rFonts w:cs="Arial"/>
          <w:sz w:val="20"/>
        </w:rPr>
      </w:pPr>
      <w:r w:rsidRPr="00E0746D">
        <w:rPr>
          <w:rFonts w:cs="Arial"/>
          <w:sz w:val="20"/>
        </w:rPr>
        <w:t>•</w:t>
      </w:r>
      <w:r w:rsidRPr="00E0746D">
        <w:rPr>
          <w:rFonts w:cs="Arial"/>
          <w:sz w:val="20"/>
        </w:rPr>
        <w:tab/>
        <w:t>to ensure the financial strategic direction for the council is maintained</w:t>
      </w:r>
    </w:p>
    <w:p w14:paraId="6F64A31A" w14:textId="77777777" w:rsidR="00A92DB4" w:rsidRDefault="00A92DB4" w:rsidP="00A92DB4">
      <w:pPr>
        <w:numPr>
          <w:ilvl w:val="12"/>
          <w:numId w:val="0"/>
        </w:numPr>
        <w:pBdr>
          <w:top w:val="single" w:sz="4" w:space="1" w:color="auto"/>
          <w:left w:val="single" w:sz="4" w:space="4" w:color="auto"/>
          <w:bottom w:val="single" w:sz="4" w:space="1" w:color="auto"/>
          <w:right w:val="single" w:sz="4" w:space="4" w:color="auto"/>
        </w:pBdr>
        <w:rPr>
          <w:rFonts w:cs="Arial"/>
          <w:sz w:val="20"/>
        </w:rPr>
      </w:pPr>
      <w:r w:rsidRPr="00E0746D">
        <w:rPr>
          <w:rFonts w:cs="Arial"/>
          <w:sz w:val="20"/>
        </w:rPr>
        <w:t>•</w:t>
      </w:r>
      <w:r w:rsidRPr="00E0746D">
        <w:rPr>
          <w:rFonts w:cs="Arial"/>
          <w:sz w:val="20"/>
        </w:rPr>
        <w:tab/>
        <w:t>to monitor the progress of the councils' business plans and corporate strategies</w:t>
      </w:r>
    </w:p>
    <w:p w14:paraId="02D206EC" w14:textId="77777777" w:rsidR="00A92DB4" w:rsidRPr="00CA7746"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sz w:val="16"/>
          <w:szCs w:val="16"/>
        </w:rPr>
      </w:pPr>
    </w:p>
    <w:p w14:paraId="4E60438E" w14:textId="77777777" w:rsidR="00A92DB4" w:rsidRDefault="00A92DB4" w:rsidP="00A92DB4">
      <w:pPr>
        <w:rPr>
          <w:rFonts w:cs="Arial"/>
          <w:sz w:val="22"/>
          <w:szCs w:val="22"/>
        </w:rPr>
      </w:pPr>
      <w:r>
        <w:rPr>
          <w:rFonts w:cs="Arial"/>
          <w:sz w:val="22"/>
          <w:szCs w:val="22"/>
        </w:rPr>
        <w:br w:type="page"/>
      </w:r>
    </w:p>
    <w:p w14:paraId="5E0C84CA" w14:textId="77777777" w:rsidR="00A92DB4" w:rsidRDefault="00A92DB4" w:rsidP="00A92DB4">
      <w:pPr>
        <w:numPr>
          <w:ilvl w:val="12"/>
          <w:numId w:val="0"/>
        </w:numPr>
        <w:jc w:val="both"/>
        <w:rPr>
          <w:rFonts w:cs="Arial"/>
          <w:sz w:val="22"/>
          <w:szCs w:val="22"/>
        </w:rPr>
      </w:pPr>
    </w:p>
    <w:p w14:paraId="214F20F0" w14:textId="77777777" w:rsidR="00A92DB4" w:rsidRDefault="00A92DB4" w:rsidP="00A92DB4">
      <w:pPr>
        <w:numPr>
          <w:ilvl w:val="12"/>
          <w:numId w:val="0"/>
        </w:numPr>
        <w:tabs>
          <w:tab w:val="left" w:pos="3969"/>
          <w:tab w:val="left" w:pos="4111"/>
        </w:tabs>
        <w:jc w:val="both"/>
        <w:rPr>
          <w:rFonts w:cs="Arial"/>
          <w:sz w:val="22"/>
          <w:szCs w:val="22"/>
        </w:rPr>
      </w:pPr>
    </w:p>
    <w:p w14:paraId="73AF4BB6" w14:textId="77777777" w:rsidR="00A92DB4" w:rsidRPr="00681F16" w:rsidRDefault="00A92DB4" w:rsidP="00A92DB4">
      <w:pPr>
        <w:numPr>
          <w:ilvl w:val="12"/>
          <w:numId w:val="0"/>
        </w:numPr>
        <w:pBdr>
          <w:top w:val="single" w:sz="4" w:space="1" w:color="auto"/>
          <w:left w:val="single" w:sz="4" w:space="4" w:color="auto"/>
          <w:right w:val="single" w:sz="4" w:space="4" w:color="auto"/>
        </w:pBdr>
        <w:shd w:val="clear" w:color="auto" w:fill="00B050"/>
        <w:jc w:val="both"/>
        <w:rPr>
          <w:rFonts w:cs="Arial"/>
          <w:b/>
          <w:color w:val="FFFFFF"/>
          <w:szCs w:val="24"/>
        </w:rPr>
      </w:pPr>
      <w:r w:rsidRPr="00681F16">
        <w:rPr>
          <w:rFonts w:cs="Arial"/>
          <w:b/>
          <w:color w:val="FFFFFF"/>
          <w:szCs w:val="24"/>
        </w:rPr>
        <w:t xml:space="preserve">Leader/CEX briefing </w:t>
      </w:r>
    </w:p>
    <w:p w14:paraId="26F86B9F" w14:textId="77777777" w:rsidR="00A92DB4" w:rsidRPr="00686E41"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b/>
          <w:sz w:val="16"/>
          <w:szCs w:val="16"/>
        </w:rPr>
      </w:pPr>
    </w:p>
    <w:p w14:paraId="234578D2" w14:textId="77777777" w:rsidR="00A92DB4" w:rsidRPr="00686E41"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b/>
          <w:sz w:val="20"/>
        </w:rPr>
      </w:pPr>
      <w:r w:rsidRPr="00686E41">
        <w:rPr>
          <w:rFonts w:cs="Arial"/>
          <w:b/>
          <w:sz w:val="20"/>
        </w:rPr>
        <w:t>Decision Making:</w:t>
      </w:r>
      <w:r w:rsidRPr="00686E41">
        <w:rPr>
          <w:rFonts w:cs="Arial"/>
          <w:b/>
          <w:sz w:val="20"/>
        </w:rPr>
        <w:tab/>
      </w:r>
      <w:r w:rsidRPr="00686E41">
        <w:rPr>
          <w:rFonts w:cs="Arial"/>
          <w:b/>
          <w:sz w:val="20"/>
        </w:rPr>
        <w:tab/>
      </w:r>
      <w:r w:rsidRPr="00686E41">
        <w:rPr>
          <w:rFonts w:cs="Arial"/>
          <w:b/>
          <w:sz w:val="20"/>
        </w:rPr>
        <w:tab/>
      </w:r>
      <w:r w:rsidRPr="00686E41">
        <w:rPr>
          <w:rFonts w:cs="Arial"/>
          <w:b/>
          <w:sz w:val="20"/>
        </w:rPr>
        <w:tab/>
      </w:r>
      <w:r w:rsidRPr="00686E41">
        <w:rPr>
          <w:rFonts w:cs="Arial"/>
          <w:b/>
          <w:sz w:val="20"/>
        </w:rPr>
        <w:tab/>
      </w:r>
      <w:r w:rsidRPr="00686E41">
        <w:rPr>
          <w:rFonts w:cs="Arial"/>
          <w:b/>
          <w:sz w:val="20"/>
        </w:rPr>
        <w:tab/>
      </w:r>
      <w:r w:rsidRPr="00686E41">
        <w:rPr>
          <w:rFonts w:cs="Arial"/>
          <w:b/>
          <w:sz w:val="20"/>
        </w:rPr>
        <w:tab/>
        <w:t>No</w:t>
      </w:r>
    </w:p>
    <w:p w14:paraId="3B38E3C3" w14:textId="77777777" w:rsidR="00A92DB4" w:rsidRPr="00CA7746"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b/>
          <w:sz w:val="16"/>
          <w:szCs w:val="16"/>
        </w:rPr>
      </w:pPr>
    </w:p>
    <w:p w14:paraId="108670A8" w14:textId="77777777" w:rsidR="00A92DB4" w:rsidRPr="00686E41"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b/>
          <w:sz w:val="20"/>
        </w:rPr>
      </w:pPr>
      <w:r w:rsidRPr="00686E41">
        <w:rPr>
          <w:rFonts w:cs="Arial"/>
          <w:b/>
          <w:sz w:val="20"/>
        </w:rPr>
        <w:t>Frequency:</w:t>
      </w:r>
      <w:r w:rsidRPr="00686E41">
        <w:rPr>
          <w:rFonts w:cs="Arial"/>
          <w:b/>
          <w:sz w:val="20"/>
        </w:rPr>
        <w:tab/>
      </w:r>
      <w:r w:rsidRPr="00686E41">
        <w:rPr>
          <w:rFonts w:cs="Arial"/>
          <w:b/>
          <w:sz w:val="20"/>
        </w:rPr>
        <w:tab/>
      </w:r>
      <w:r w:rsidRPr="00686E41">
        <w:rPr>
          <w:rFonts w:cs="Arial"/>
          <w:b/>
          <w:sz w:val="20"/>
        </w:rPr>
        <w:tab/>
      </w:r>
      <w:r w:rsidRPr="00686E41">
        <w:rPr>
          <w:rFonts w:cs="Arial"/>
          <w:b/>
          <w:sz w:val="20"/>
        </w:rPr>
        <w:tab/>
      </w:r>
      <w:r w:rsidRPr="00686E41">
        <w:rPr>
          <w:rFonts w:cs="Arial"/>
          <w:b/>
          <w:sz w:val="20"/>
        </w:rPr>
        <w:tab/>
      </w:r>
      <w:r w:rsidRPr="00686E41">
        <w:rPr>
          <w:rFonts w:cs="Arial"/>
          <w:b/>
          <w:sz w:val="20"/>
        </w:rPr>
        <w:tab/>
      </w:r>
      <w:r w:rsidRPr="00686E41">
        <w:rPr>
          <w:rFonts w:cs="Arial"/>
          <w:b/>
          <w:sz w:val="20"/>
        </w:rPr>
        <w:tab/>
      </w:r>
      <w:r w:rsidRPr="00686E41">
        <w:rPr>
          <w:rFonts w:cs="Arial"/>
          <w:b/>
          <w:sz w:val="20"/>
        </w:rPr>
        <w:tab/>
        <w:t>Weekly</w:t>
      </w:r>
    </w:p>
    <w:p w14:paraId="109C9515" w14:textId="77777777" w:rsidR="00A92DB4" w:rsidRPr="00686E41"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b/>
          <w:sz w:val="16"/>
          <w:szCs w:val="16"/>
        </w:rPr>
      </w:pPr>
    </w:p>
    <w:p w14:paraId="620FF502" w14:textId="77777777" w:rsidR="00A92DB4" w:rsidRPr="00686E41"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b/>
          <w:sz w:val="20"/>
        </w:rPr>
      </w:pPr>
      <w:r w:rsidRPr="00686E41">
        <w:rPr>
          <w:rFonts w:cs="Arial"/>
          <w:b/>
          <w:sz w:val="20"/>
        </w:rPr>
        <w:t>Purpose</w:t>
      </w:r>
    </w:p>
    <w:p w14:paraId="19373847" w14:textId="77777777" w:rsidR="00A92DB4"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sz w:val="20"/>
        </w:rPr>
      </w:pPr>
      <w:r w:rsidRPr="00686E41">
        <w:rPr>
          <w:rFonts w:cs="Arial"/>
          <w:sz w:val="20"/>
        </w:rPr>
        <w:t>Highlight report/briefings to ensure Leader/CX fully briefed by Delivery Group.</w:t>
      </w:r>
    </w:p>
    <w:p w14:paraId="7676BA81" w14:textId="77777777" w:rsidR="00A92DB4" w:rsidRPr="00686E41"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sz w:val="20"/>
        </w:rPr>
      </w:pPr>
    </w:p>
    <w:p w14:paraId="43DDE857" w14:textId="77777777" w:rsidR="00A92DB4" w:rsidRPr="008B1720" w:rsidRDefault="00A92DB4" w:rsidP="00A92DB4">
      <w:pPr>
        <w:numPr>
          <w:ilvl w:val="12"/>
          <w:numId w:val="0"/>
        </w:numPr>
        <w:jc w:val="both"/>
        <w:rPr>
          <w:rFonts w:cs="Arial"/>
          <w:sz w:val="16"/>
          <w:szCs w:val="16"/>
        </w:rPr>
      </w:pPr>
    </w:p>
    <w:p w14:paraId="332726A6" w14:textId="77777777" w:rsidR="00A92DB4" w:rsidRDefault="00A92DB4" w:rsidP="00A92DB4">
      <w:pPr>
        <w:numPr>
          <w:ilvl w:val="12"/>
          <w:numId w:val="0"/>
        </w:numPr>
        <w:jc w:val="center"/>
        <w:rPr>
          <w:rFonts w:cs="Arial"/>
          <w:sz w:val="16"/>
          <w:szCs w:val="16"/>
        </w:rPr>
      </w:pPr>
    </w:p>
    <w:p w14:paraId="00028E5E" w14:textId="77777777" w:rsidR="00A92DB4" w:rsidRPr="008B1720" w:rsidRDefault="00A92DB4" w:rsidP="00A92DB4">
      <w:pPr>
        <w:numPr>
          <w:ilvl w:val="12"/>
          <w:numId w:val="0"/>
        </w:numPr>
        <w:jc w:val="both"/>
        <w:rPr>
          <w:rFonts w:cs="Arial"/>
          <w:sz w:val="16"/>
          <w:szCs w:val="16"/>
        </w:rPr>
      </w:pPr>
    </w:p>
    <w:p w14:paraId="7D1C5A60" w14:textId="77777777" w:rsidR="00A92DB4" w:rsidRPr="00681F16" w:rsidRDefault="00A92DB4" w:rsidP="00A92DB4">
      <w:pPr>
        <w:numPr>
          <w:ilvl w:val="12"/>
          <w:numId w:val="0"/>
        </w:numPr>
        <w:pBdr>
          <w:top w:val="single" w:sz="4" w:space="1" w:color="auto"/>
          <w:left w:val="single" w:sz="4" w:space="4" w:color="auto"/>
          <w:right w:val="single" w:sz="4" w:space="4" w:color="auto"/>
        </w:pBdr>
        <w:shd w:val="clear" w:color="auto" w:fill="0070C0"/>
        <w:jc w:val="both"/>
        <w:rPr>
          <w:rFonts w:cs="Arial"/>
          <w:color w:val="FFFFFF"/>
          <w:sz w:val="22"/>
          <w:szCs w:val="22"/>
        </w:rPr>
      </w:pPr>
      <w:r w:rsidRPr="00681F16">
        <w:rPr>
          <w:rFonts w:cs="Arial"/>
          <w:b/>
          <w:color w:val="FFFFFF"/>
          <w:szCs w:val="24"/>
        </w:rPr>
        <w:t>Cabinet</w:t>
      </w:r>
    </w:p>
    <w:p w14:paraId="43C417DA" w14:textId="77777777" w:rsidR="00A92DB4" w:rsidRPr="00686E41"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sz w:val="16"/>
          <w:szCs w:val="16"/>
        </w:rPr>
      </w:pPr>
    </w:p>
    <w:p w14:paraId="54D3DB17" w14:textId="77777777" w:rsidR="00A92DB4" w:rsidRPr="00686E41"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b/>
          <w:sz w:val="20"/>
        </w:rPr>
      </w:pPr>
      <w:r>
        <w:rPr>
          <w:rFonts w:cs="Arial"/>
          <w:b/>
          <w:sz w:val="20"/>
        </w:rPr>
        <w:t>Decision Making:</w:t>
      </w:r>
      <w:r>
        <w:rPr>
          <w:rFonts w:cs="Arial"/>
          <w:b/>
          <w:sz w:val="20"/>
        </w:rPr>
        <w:tab/>
      </w:r>
      <w:r w:rsidRPr="00686E41">
        <w:rPr>
          <w:rFonts w:cs="Arial"/>
          <w:b/>
          <w:sz w:val="20"/>
        </w:rPr>
        <w:tab/>
      </w:r>
      <w:r w:rsidRPr="00686E41">
        <w:rPr>
          <w:rFonts w:cs="Arial"/>
          <w:b/>
          <w:sz w:val="20"/>
        </w:rPr>
        <w:tab/>
      </w:r>
      <w:r w:rsidRPr="00686E41">
        <w:rPr>
          <w:rFonts w:cs="Arial"/>
          <w:b/>
          <w:sz w:val="20"/>
        </w:rPr>
        <w:tab/>
      </w:r>
      <w:r w:rsidRPr="00686E41">
        <w:rPr>
          <w:rFonts w:cs="Arial"/>
          <w:b/>
          <w:sz w:val="20"/>
        </w:rPr>
        <w:tab/>
      </w:r>
      <w:r w:rsidRPr="00686E41">
        <w:rPr>
          <w:rFonts w:cs="Arial"/>
          <w:b/>
          <w:sz w:val="20"/>
        </w:rPr>
        <w:tab/>
      </w:r>
      <w:r w:rsidRPr="00686E41">
        <w:rPr>
          <w:rFonts w:cs="Arial"/>
          <w:b/>
          <w:sz w:val="20"/>
        </w:rPr>
        <w:tab/>
        <w:t>Yes</w:t>
      </w:r>
    </w:p>
    <w:p w14:paraId="5E88D37A" w14:textId="77777777" w:rsidR="00A92DB4" w:rsidRPr="00686E41"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b/>
          <w:sz w:val="20"/>
        </w:rPr>
      </w:pPr>
    </w:p>
    <w:p w14:paraId="4225CC28" w14:textId="77777777" w:rsidR="00A92DB4" w:rsidRPr="00686E41"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b/>
          <w:sz w:val="20"/>
        </w:rPr>
      </w:pPr>
      <w:r w:rsidRPr="00686E41">
        <w:rPr>
          <w:rFonts w:cs="Arial"/>
          <w:b/>
          <w:sz w:val="20"/>
        </w:rPr>
        <w:t>Frequency</w:t>
      </w:r>
      <w:r>
        <w:rPr>
          <w:rFonts w:cs="Arial"/>
          <w:b/>
          <w:sz w:val="20"/>
        </w:rPr>
        <w:t>:</w:t>
      </w:r>
    </w:p>
    <w:p w14:paraId="3F15F665" w14:textId="77777777" w:rsidR="00A92DB4" w:rsidRPr="00CA7746"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b/>
          <w:sz w:val="16"/>
          <w:szCs w:val="16"/>
        </w:rPr>
      </w:pPr>
    </w:p>
    <w:p w14:paraId="489A4EB1" w14:textId="77777777" w:rsidR="00A92DB4"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b/>
          <w:sz w:val="20"/>
        </w:rPr>
      </w:pPr>
      <w:r w:rsidRPr="00686E41">
        <w:rPr>
          <w:rFonts w:cs="Arial"/>
          <w:b/>
          <w:sz w:val="20"/>
        </w:rPr>
        <w:t>Purpose</w:t>
      </w:r>
    </w:p>
    <w:p w14:paraId="62C9B983" w14:textId="77777777" w:rsidR="00A92DB4"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sz w:val="20"/>
        </w:rPr>
      </w:pPr>
      <w:r w:rsidRPr="00686E41">
        <w:rPr>
          <w:rFonts w:cs="Arial"/>
          <w:sz w:val="20"/>
        </w:rPr>
        <w:t>Council Financial decision required for the project</w:t>
      </w:r>
    </w:p>
    <w:p w14:paraId="6FDEAEED" w14:textId="77777777" w:rsidR="00A92DB4" w:rsidRPr="00686E41" w:rsidRDefault="00A92DB4" w:rsidP="00A92DB4">
      <w:pPr>
        <w:numPr>
          <w:ilvl w:val="12"/>
          <w:numId w:val="0"/>
        </w:numPr>
        <w:pBdr>
          <w:top w:val="single" w:sz="4" w:space="1" w:color="auto"/>
          <w:left w:val="single" w:sz="4" w:space="4" w:color="auto"/>
          <w:bottom w:val="single" w:sz="4" w:space="1" w:color="auto"/>
          <w:right w:val="single" w:sz="4" w:space="4" w:color="auto"/>
        </w:pBdr>
        <w:jc w:val="both"/>
        <w:rPr>
          <w:rFonts w:cs="Arial"/>
          <w:sz w:val="20"/>
        </w:rPr>
      </w:pPr>
    </w:p>
    <w:p w14:paraId="4CE9C038" w14:textId="77777777" w:rsidR="00A92DB4" w:rsidRDefault="00A92DB4" w:rsidP="00A92DB4">
      <w:pPr>
        <w:rPr>
          <w:rFonts w:cs="Arial"/>
          <w:sz w:val="20"/>
        </w:rPr>
      </w:pPr>
    </w:p>
    <w:p w14:paraId="3E800394" w14:textId="77777777" w:rsidR="00A92DB4" w:rsidRDefault="00A92DB4" w:rsidP="00A92DB4">
      <w:pPr>
        <w:rPr>
          <w:rFonts w:cs="Arial"/>
          <w:sz w:val="20"/>
        </w:rPr>
      </w:pPr>
    </w:p>
    <w:p w14:paraId="5016196F" w14:textId="77777777" w:rsidR="00A92DB4" w:rsidRDefault="00A92DB4" w:rsidP="00A92DB4">
      <w:pPr>
        <w:rPr>
          <w:rFonts w:cs="Arial"/>
          <w:sz w:val="20"/>
        </w:rPr>
      </w:pPr>
    </w:p>
    <w:p w14:paraId="0A37501D" w14:textId="7ADA9AE7" w:rsidR="00960CFF" w:rsidRDefault="00960CFF">
      <w:pPr>
        <w:rPr>
          <w:rFonts w:cs="Arial"/>
          <w:szCs w:val="24"/>
        </w:rPr>
      </w:pPr>
    </w:p>
    <w:sectPr w:rsidR="00960CFF" w:rsidSect="000750F4">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D8816" w14:textId="77777777" w:rsidR="0019225F" w:rsidRDefault="0019225F">
      <w:r>
        <w:separator/>
      </w:r>
    </w:p>
  </w:endnote>
  <w:endnote w:type="continuationSeparator" w:id="0">
    <w:p w14:paraId="34AE4F41" w14:textId="77777777" w:rsidR="0019225F" w:rsidRDefault="0019225F">
      <w:r>
        <w:continuationSeparator/>
      </w:r>
    </w:p>
  </w:endnote>
  <w:endnote w:type="continuationNotice" w:id="1">
    <w:p w14:paraId="498D6597" w14:textId="77777777" w:rsidR="000338E3" w:rsidRDefault="00033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245E" w14:textId="77777777" w:rsidR="00A92DB4" w:rsidRDefault="00A92DB4">
    <w:pPr>
      <w:pStyle w:val="Footer"/>
      <w:jc w:val="right"/>
    </w:pPr>
    <w:r>
      <w:tab/>
    </w:r>
    <w:r>
      <w:rPr>
        <w:rFonts w:cs="Arial"/>
      </w:rPr>
      <w:tab/>
    </w:r>
    <w:r>
      <w:t xml:space="preserve"> </w:t>
    </w:r>
  </w:p>
  <w:p w14:paraId="3589F48E" w14:textId="77777777" w:rsidR="00A92DB4" w:rsidRDefault="00A92D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DB89" w14:textId="77777777" w:rsidR="0019225F" w:rsidRDefault="0019225F">
      <w:r>
        <w:separator/>
      </w:r>
    </w:p>
  </w:footnote>
  <w:footnote w:type="continuationSeparator" w:id="0">
    <w:p w14:paraId="3DFAF35C" w14:textId="77777777" w:rsidR="0019225F" w:rsidRDefault="0019225F">
      <w:r>
        <w:continuationSeparator/>
      </w:r>
    </w:p>
  </w:footnote>
  <w:footnote w:type="continuationNotice" w:id="1">
    <w:p w14:paraId="22B0F1AC" w14:textId="77777777" w:rsidR="000338E3" w:rsidRDefault="000338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E48B" w14:textId="77777777" w:rsidR="00A92DB4" w:rsidRDefault="00A92DB4">
    <w:pPr>
      <w:pStyle w:val="Header"/>
    </w:pPr>
    <w:r>
      <w:rPr>
        <w:noProof/>
      </w:rPr>
      <w:pict w14:anchorId="45332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435.05pt;height:174pt;rotation:315;z-index:-251657216;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B9ECAD6"/>
    <w:lvl w:ilvl="0">
      <w:start w:val="3"/>
      <w:numFmt w:val="decimal"/>
      <w:pStyle w:val="Heading1"/>
      <w:lvlText w:val="%1."/>
      <w:legacy w:legacy="1" w:legacySpace="120" w:legacyIndent="360"/>
      <w:lvlJc w:val="left"/>
      <w:pPr>
        <w:ind w:left="360" w:hanging="360"/>
      </w:pPr>
    </w:lvl>
    <w:lvl w:ilvl="1">
      <w:start w:val="1"/>
      <w:numFmt w:val="decimal"/>
      <w:pStyle w:val="Heading2"/>
      <w:lvlText w:val="%1.%2."/>
      <w:legacy w:legacy="1" w:legacySpace="120" w:legacyIndent="432"/>
      <w:lvlJc w:val="left"/>
      <w:pPr>
        <w:ind w:left="792" w:hanging="432"/>
      </w:pPr>
      <w:rPr>
        <w:rFonts w:ascii="Arial" w:hAnsi="Arial" w:cs="Arial" w:hint="default"/>
      </w:rPr>
    </w:lvl>
    <w:lvl w:ilvl="2">
      <w:start w:val="1"/>
      <w:numFmt w:val="decimal"/>
      <w:pStyle w:val="Heading3"/>
      <w:lvlText w:val="%1.%2.%3."/>
      <w:legacy w:legacy="1" w:legacySpace="120" w:legacyIndent="504"/>
      <w:lvlJc w:val="left"/>
      <w:pPr>
        <w:ind w:left="1224" w:hanging="504"/>
      </w:pPr>
      <w:rPr>
        <w:rFonts w:ascii="Comic Sans MS" w:hAnsi="Comic Sans M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170A175C"/>
    <w:multiLevelType w:val="hybridMultilevel"/>
    <w:tmpl w:val="BD80829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1B01BE"/>
    <w:multiLevelType w:val="multilevel"/>
    <w:tmpl w:val="F53497A6"/>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080" w:hanging="108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440" w:hanging="1440"/>
      </w:pPr>
      <w:rPr>
        <w:rFonts w:cs="Arial" w:hint="default"/>
      </w:rPr>
    </w:lvl>
    <w:lvl w:ilvl="8">
      <w:start w:val="1"/>
      <w:numFmt w:val="decimal"/>
      <w:isLgl/>
      <w:lvlText w:val="%1.%2.%3.%4.%5.%6.%7.%8.%9"/>
      <w:lvlJc w:val="left"/>
      <w:pPr>
        <w:ind w:left="1800" w:hanging="1800"/>
      </w:pPr>
      <w:rPr>
        <w:rFonts w:cs="Arial" w:hint="default"/>
      </w:rPr>
    </w:lvl>
  </w:abstractNum>
  <w:abstractNum w:abstractNumId="3" w15:restartNumberingAfterBreak="0">
    <w:nsid w:val="3F3A5CCB"/>
    <w:multiLevelType w:val="multilevel"/>
    <w:tmpl w:val="617E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242CB3"/>
    <w:multiLevelType w:val="hybridMultilevel"/>
    <w:tmpl w:val="B3900890"/>
    <w:lvl w:ilvl="0" w:tplc="FFFFFFFF">
      <w:start w:val="1"/>
      <w:numFmt w:val="bullet"/>
      <w:pStyle w:val="Sectioned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AA24296"/>
    <w:multiLevelType w:val="hybridMultilevel"/>
    <w:tmpl w:val="B7C2100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A866FF0"/>
    <w:multiLevelType w:val="hybridMultilevel"/>
    <w:tmpl w:val="661CB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1A3CDC"/>
    <w:multiLevelType w:val="hybridMultilevel"/>
    <w:tmpl w:val="11AE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3315017">
    <w:abstractNumId w:val="0"/>
  </w:num>
  <w:num w:numId="2" w16cid:durableId="234125534">
    <w:abstractNumId w:val="4"/>
  </w:num>
  <w:num w:numId="3" w16cid:durableId="1324818764">
    <w:abstractNumId w:val="6"/>
  </w:num>
  <w:num w:numId="4" w16cid:durableId="721363664">
    <w:abstractNumId w:val="5"/>
  </w:num>
  <w:num w:numId="5" w16cid:durableId="2144542378">
    <w:abstractNumId w:val="7"/>
  </w:num>
  <w:num w:numId="6" w16cid:durableId="412549333">
    <w:abstractNumId w:val="2"/>
  </w:num>
  <w:num w:numId="7" w16cid:durableId="1793818116">
    <w:abstractNumId w:val="3"/>
  </w:num>
  <w:num w:numId="8" w16cid:durableId="59724995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enu v:ext="edit" fillcolor="none [3212]"/>
    </o:shapedefaults>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D4"/>
    <w:rsid w:val="00006497"/>
    <w:rsid w:val="0001191B"/>
    <w:rsid w:val="00032981"/>
    <w:rsid w:val="0003342C"/>
    <w:rsid w:val="000338E3"/>
    <w:rsid w:val="00033B2F"/>
    <w:rsid w:val="0003427F"/>
    <w:rsid w:val="00042E1A"/>
    <w:rsid w:val="000625E9"/>
    <w:rsid w:val="00062A45"/>
    <w:rsid w:val="00064255"/>
    <w:rsid w:val="00074EE3"/>
    <w:rsid w:val="000750F4"/>
    <w:rsid w:val="00077B37"/>
    <w:rsid w:val="00091E61"/>
    <w:rsid w:val="000A15D6"/>
    <w:rsid w:val="000A337D"/>
    <w:rsid w:val="000A37CB"/>
    <w:rsid w:val="000A383C"/>
    <w:rsid w:val="000B19B5"/>
    <w:rsid w:val="000B38C3"/>
    <w:rsid w:val="000C6AA4"/>
    <w:rsid w:val="000D3C11"/>
    <w:rsid w:val="000D5270"/>
    <w:rsid w:val="000D6E73"/>
    <w:rsid w:val="000E584D"/>
    <w:rsid w:val="00106E5E"/>
    <w:rsid w:val="00111A19"/>
    <w:rsid w:val="00113CC2"/>
    <w:rsid w:val="00127535"/>
    <w:rsid w:val="00146466"/>
    <w:rsid w:val="00155FCC"/>
    <w:rsid w:val="00157E60"/>
    <w:rsid w:val="00172C27"/>
    <w:rsid w:val="00173550"/>
    <w:rsid w:val="00181DAE"/>
    <w:rsid w:val="00185DE4"/>
    <w:rsid w:val="00187EA4"/>
    <w:rsid w:val="00190983"/>
    <w:rsid w:val="0019225F"/>
    <w:rsid w:val="00192C50"/>
    <w:rsid w:val="0019698B"/>
    <w:rsid w:val="001A0562"/>
    <w:rsid w:val="001F4515"/>
    <w:rsid w:val="001F6575"/>
    <w:rsid w:val="00203068"/>
    <w:rsid w:val="00224C28"/>
    <w:rsid w:val="0022670E"/>
    <w:rsid w:val="00240C8D"/>
    <w:rsid w:val="002566F0"/>
    <w:rsid w:val="002858DD"/>
    <w:rsid w:val="002A5345"/>
    <w:rsid w:val="002B4198"/>
    <w:rsid w:val="002C22BB"/>
    <w:rsid w:val="002D4CB1"/>
    <w:rsid w:val="002E3542"/>
    <w:rsid w:val="003122A3"/>
    <w:rsid w:val="0032630F"/>
    <w:rsid w:val="00345489"/>
    <w:rsid w:val="00380546"/>
    <w:rsid w:val="00380D88"/>
    <w:rsid w:val="00381686"/>
    <w:rsid w:val="003876A1"/>
    <w:rsid w:val="003A0268"/>
    <w:rsid w:val="003A4703"/>
    <w:rsid w:val="003B519B"/>
    <w:rsid w:val="003C7554"/>
    <w:rsid w:val="003D09F0"/>
    <w:rsid w:val="003D45F2"/>
    <w:rsid w:val="003F2EA0"/>
    <w:rsid w:val="003F4B4F"/>
    <w:rsid w:val="00402C13"/>
    <w:rsid w:val="00410820"/>
    <w:rsid w:val="00424915"/>
    <w:rsid w:val="00424A26"/>
    <w:rsid w:val="00440B3B"/>
    <w:rsid w:val="0044204A"/>
    <w:rsid w:val="00442806"/>
    <w:rsid w:val="00453AE5"/>
    <w:rsid w:val="00454251"/>
    <w:rsid w:val="00467BBD"/>
    <w:rsid w:val="00484AE0"/>
    <w:rsid w:val="004A1F65"/>
    <w:rsid w:val="004B0994"/>
    <w:rsid w:val="004B2126"/>
    <w:rsid w:val="004B467F"/>
    <w:rsid w:val="004C0DAE"/>
    <w:rsid w:val="004D0CEE"/>
    <w:rsid w:val="004D2EAF"/>
    <w:rsid w:val="004F7305"/>
    <w:rsid w:val="0050638A"/>
    <w:rsid w:val="00524D65"/>
    <w:rsid w:val="005271F9"/>
    <w:rsid w:val="00530434"/>
    <w:rsid w:val="00532019"/>
    <w:rsid w:val="00544DAF"/>
    <w:rsid w:val="005532DB"/>
    <w:rsid w:val="00557611"/>
    <w:rsid w:val="00563472"/>
    <w:rsid w:val="00574DB2"/>
    <w:rsid w:val="005757CA"/>
    <w:rsid w:val="005A412D"/>
    <w:rsid w:val="005A4598"/>
    <w:rsid w:val="005B3694"/>
    <w:rsid w:val="005B78C9"/>
    <w:rsid w:val="005C2308"/>
    <w:rsid w:val="005D33B2"/>
    <w:rsid w:val="00604E8B"/>
    <w:rsid w:val="00614EFA"/>
    <w:rsid w:val="006477EC"/>
    <w:rsid w:val="00652166"/>
    <w:rsid w:val="00652440"/>
    <w:rsid w:val="00652952"/>
    <w:rsid w:val="00660F0A"/>
    <w:rsid w:val="00666CF6"/>
    <w:rsid w:val="00677CED"/>
    <w:rsid w:val="00681F16"/>
    <w:rsid w:val="00686E41"/>
    <w:rsid w:val="00687C34"/>
    <w:rsid w:val="0069011D"/>
    <w:rsid w:val="006B1AAE"/>
    <w:rsid w:val="006C7FE5"/>
    <w:rsid w:val="006D6794"/>
    <w:rsid w:val="006E08BD"/>
    <w:rsid w:val="006E10AF"/>
    <w:rsid w:val="00701698"/>
    <w:rsid w:val="00701BB8"/>
    <w:rsid w:val="00707447"/>
    <w:rsid w:val="00721B28"/>
    <w:rsid w:val="00743107"/>
    <w:rsid w:val="007538B7"/>
    <w:rsid w:val="00783785"/>
    <w:rsid w:val="007876E7"/>
    <w:rsid w:val="007A7EFF"/>
    <w:rsid w:val="007B20C8"/>
    <w:rsid w:val="007C3A33"/>
    <w:rsid w:val="007D29C5"/>
    <w:rsid w:val="007D3826"/>
    <w:rsid w:val="007D79D8"/>
    <w:rsid w:val="007D7C6C"/>
    <w:rsid w:val="007E61D1"/>
    <w:rsid w:val="00804B5D"/>
    <w:rsid w:val="00820827"/>
    <w:rsid w:val="00824CAA"/>
    <w:rsid w:val="0082600C"/>
    <w:rsid w:val="00827EFA"/>
    <w:rsid w:val="00833730"/>
    <w:rsid w:val="00833F66"/>
    <w:rsid w:val="00852B92"/>
    <w:rsid w:val="00865E3F"/>
    <w:rsid w:val="008667E6"/>
    <w:rsid w:val="008773B3"/>
    <w:rsid w:val="008B1720"/>
    <w:rsid w:val="008C77A3"/>
    <w:rsid w:val="008D53D7"/>
    <w:rsid w:val="008D6ED4"/>
    <w:rsid w:val="008F093A"/>
    <w:rsid w:val="008F35BE"/>
    <w:rsid w:val="00905780"/>
    <w:rsid w:val="009063E5"/>
    <w:rsid w:val="009172B6"/>
    <w:rsid w:val="009222D4"/>
    <w:rsid w:val="0093451C"/>
    <w:rsid w:val="00936838"/>
    <w:rsid w:val="009438A5"/>
    <w:rsid w:val="00954B13"/>
    <w:rsid w:val="009569E3"/>
    <w:rsid w:val="00960CFF"/>
    <w:rsid w:val="0097345B"/>
    <w:rsid w:val="00985825"/>
    <w:rsid w:val="00987959"/>
    <w:rsid w:val="009B0173"/>
    <w:rsid w:val="009B3851"/>
    <w:rsid w:val="009C2600"/>
    <w:rsid w:val="009D15FD"/>
    <w:rsid w:val="009E51D1"/>
    <w:rsid w:val="009E63BF"/>
    <w:rsid w:val="009F66BF"/>
    <w:rsid w:val="00A16DC8"/>
    <w:rsid w:val="00A2610E"/>
    <w:rsid w:val="00A30174"/>
    <w:rsid w:val="00A30866"/>
    <w:rsid w:val="00A451D9"/>
    <w:rsid w:val="00A60307"/>
    <w:rsid w:val="00A631CD"/>
    <w:rsid w:val="00A826FF"/>
    <w:rsid w:val="00A84380"/>
    <w:rsid w:val="00A91909"/>
    <w:rsid w:val="00A9264D"/>
    <w:rsid w:val="00A92DB4"/>
    <w:rsid w:val="00A92E51"/>
    <w:rsid w:val="00A94EEC"/>
    <w:rsid w:val="00A975E0"/>
    <w:rsid w:val="00AA085E"/>
    <w:rsid w:val="00AC08C6"/>
    <w:rsid w:val="00AC3C6E"/>
    <w:rsid w:val="00AD469E"/>
    <w:rsid w:val="00AF0F36"/>
    <w:rsid w:val="00AF63D7"/>
    <w:rsid w:val="00B05B3D"/>
    <w:rsid w:val="00B066DE"/>
    <w:rsid w:val="00B34597"/>
    <w:rsid w:val="00B3791D"/>
    <w:rsid w:val="00B406AD"/>
    <w:rsid w:val="00B43EE3"/>
    <w:rsid w:val="00B57F18"/>
    <w:rsid w:val="00B6491E"/>
    <w:rsid w:val="00B675CA"/>
    <w:rsid w:val="00B92592"/>
    <w:rsid w:val="00B952F1"/>
    <w:rsid w:val="00BB30BA"/>
    <w:rsid w:val="00BB64A6"/>
    <w:rsid w:val="00BF48FA"/>
    <w:rsid w:val="00C018C8"/>
    <w:rsid w:val="00C21614"/>
    <w:rsid w:val="00C36EB7"/>
    <w:rsid w:val="00C44FD7"/>
    <w:rsid w:val="00C510E5"/>
    <w:rsid w:val="00C60D79"/>
    <w:rsid w:val="00C661FF"/>
    <w:rsid w:val="00C724BD"/>
    <w:rsid w:val="00C85A94"/>
    <w:rsid w:val="00C8678A"/>
    <w:rsid w:val="00CA7746"/>
    <w:rsid w:val="00CC5106"/>
    <w:rsid w:val="00D0400F"/>
    <w:rsid w:val="00D04725"/>
    <w:rsid w:val="00D2096B"/>
    <w:rsid w:val="00D223C2"/>
    <w:rsid w:val="00D259DF"/>
    <w:rsid w:val="00D35180"/>
    <w:rsid w:val="00D36074"/>
    <w:rsid w:val="00D60BB8"/>
    <w:rsid w:val="00D60C03"/>
    <w:rsid w:val="00D94070"/>
    <w:rsid w:val="00D959D5"/>
    <w:rsid w:val="00D96134"/>
    <w:rsid w:val="00D971C5"/>
    <w:rsid w:val="00D97FD7"/>
    <w:rsid w:val="00DA76FC"/>
    <w:rsid w:val="00DA7E51"/>
    <w:rsid w:val="00DB345F"/>
    <w:rsid w:val="00DE6AF9"/>
    <w:rsid w:val="00DF2897"/>
    <w:rsid w:val="00E0746D"/>
    <w:rsid w:val="00E10A53"/>
    <w:rsid w:val="00E22E60"/>
    <w:rsid w:val="00E53393"/>
    <w:rsid w:val="00E548DE"/>
    <w:rsid w:val="00E55981"/>
    <w:rsid w:val="00E72008"/>
    <w:rsid w:val="00E85A65"/>
    <w:rsid w:val="00E85A6A"/>
    <w:rsid w:val="00E86051"/>
    <w:rsid w:val="00E92202"/>
    <w:rsid w:val="00EA091B"/>
    <w:rsid w:val="00EA4F6C"/>
    <w:rsid w:val="00EA63D7"/>
    <w:rsid w:val="00EB517B"/>
    <w:rsid w:val="00EB5793"/>
    <w:rsid w:val="00EB7B59"/>
    <w:rsid w:val="00EC7CD9"/>
    <w:rsid w:val="00EF6F65"/>
    <w:rsid w:val="00F06BC5"/>
    <w:rsid w:val="00F218B9"/>
    <w:rsid w:val="00F520CC"/>
    <w:rsid w:val="00F547C6"/>
    <w:rsid w:val="00F5759D"/>
    <w:rsid w:val="00F6242C"/>
    <w:rsid w:val="00F7533C"/>
    <w:rsid w:val="00F83685"/>
    <w:rsid w:val="00F92009"/>
    <w:rsid w:val="00F97B3C"/>
    <w:rsid w:val="00FC1179"/>
    <w:rsid w:val="00FC6BFE"/>
    <w:rsid w:val="0701FEBB"/>
    <w:rsid w:val="0BCE3CC0"/>
    <w:rsid w:val="2670C975"/>
    <w:rsid w:val="44E4BB56"/>
    <w:rsid w:val="59FCE872"/>
    <w:rsid w:val="6AA41DDF"/>
    <w:rsid w:val="7A0F0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2"/>
    </o:shapelayout>
  </w:shapeDefaults>
  <w:decimalSymbol w:val="."/>
  <w:listSeparator w:val=","/>
  <w14:docId w14:val="12774776"/>
  <w15:docId w15:val="{B3B491F4-4E56-4952-9C2F-8B77FFB2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GB"/>
    </w:rPr>
  </w:style>
  <w:style w:type="paragraph" w:styleId="Heading1">
    <w:name w:val="heading 1"/>
    <w:basedOn w:val="Normal"/>
    <w:next w:val="Normal"/>
    <w:qFormat/>
    <w:pPr>
      <w:keepNext/>
      <w:numPr>
        <w:numId w:val="1"/>
      </w:numPr>
      <w:tabs>
        <w:tab w:val="left" w:pos="0"/>
        <w:tab w:val="left" w:pos="360"/>
      </w:tabs>
      <w:outlineLvl w:val="0"/>
    </w:pPr>
    <w:rPr>
      <w:b/>
      <w:caps/>
      <w:color w:val="000080"/>
      <w:sz w:val="28"/>
    </w:rPr>
  </w:style>
  <w:style w:type="paragraph" w:styleId="Heading2">
    <w:name w:val="heading 2"/>
    <w:basedOn w:val="Normal"/>
    <w:next w:val="Normal"/>
    <w:qFormat/>
    <w:pPr>
      <w:keepNext/>
      <w:numPr>
        <w:ilvl w:val="1"/>
        <w:numId w:val="1"/>
      </w:numPr>
      <w:tabs>
        <w:tab w:val="left" w:pos="1080"/>
      </w:tabs>
      <w:spacing w:before="240" w:after="60"/>
      <w:outlineLvl w:val="1"/>
    </w:pPr>
    <w:rPr>
      <w:b/>
      <w:caps/>
      <w:color w:val="000080"/>
    </w:rPr>
  </w:style>
  <w:style w:type="paragraph" w:styleId="Heading3">
    <w:name w:val="heading 3"/>
    <w:basedOn w:val="Normal"/>
    <w:next w:val="Normal"/>
    <w:qFormat/>
    <w:pPr>
      <w:keepNext/>
      <w:numPr>
        <w:ilvl w:val="2"/>
        <w:numId w:val="1"/>
      </w:numPr>
      <w:tabs>
        <w:tab w:val="left" w:pos="0"/>
        <w:tab w:val="left" w:pos="1800"/>
      </w:tabs>
      <w:outlineLvl w:val="2"/>
    </w:pPr>
    <w:rPr>
      <w:b/>
      <w:color w:val="000080"/>
    </w:rPr>
  </w:style>
  <w:style w:type="paragraph" w:styleId="Heading4">
    <w:name w:val="heading 4"/>
    <w:basedOn w:val="Normal"/>
    <w:next w:val="Normal"/>
    <w:qFormat/>
    <w:pPr>
      <w:keepNext/>
      <w:ind w:left="2016"/>
      <w:outlineLvl w:val="3"/>
    </w:pPr>
    <w:rPr>
      <w:color w:val="000080"/>
    </w:rPr>
  </w:style>
  <w:style w:type="paragraph" w:styleId="Heading5">
    <w:name w:val="heading 5"/>
    <w:basedOn w:val="Normal"/>
    <w:next w:val="Normal"/>
    <w:qFormat/>
    <w:pPr>
      <w:keepNext/>
      <w:ind w:left="2016"/>
      <w:outlineLvl w:val="4"/>
    </w:pPr>
    <w:rPr>
      <w:i/>
      <w:color w:val="000000"/>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mallCaps/>
      <w:sz w:val="16"/>
    </w:rPr>
  </w:style>
  <w:style w:type="paragraph" w:customStyle="1" w:styleId="TableofContentsTitle">
    <w:name w:val="Table of Contents Title"/>
    <w:basedOn w:val="BodyTextFirstIndent"/>
    <w:rPr>
      <w:b/>
      <w:caps/>
      <w:color w:val="000080"/>
      <w:sz w:val="28"/>
    </w:rPr>
  </w:style>
  <w:style w:type="paragraph" w:customStyle="1" w:styleId="TableofContents-Text">
    <w:name w:val="Table of Contents - Text"/>
    <w:basedOn w:val="Normal"/>
    <w:pPr>
      <w:tabs>
        <w:tab w:val="left" w:pos="720"/>
      </w:tabs>
      <w:ind w:left="720" w:hanging="720"/>
    </w:pPr>
    <w:rPr>
      <w:b/>
      <w:smallCaps/>
    </w:rPr>
  </w:style>
  <w:style w:type="paragraph" w:styleId="BodyText">
    <w:name w:val="Body Text"/>
    <w:basedOn w:val="Normal"/>
    <w:pPr>
      <w:spacing w:after="120"/>
    </w:pPr>
  </w:style>
  <w:style w:type="paragraph" w:styleId="BodyTextFirstIndent">
    <w:name w:val="Body Text First Indent"/>
    <w:basedOn w:val="BodyText"/>
    <w:pPr>
      <w:ind w:left="576"/>
    </w:pPr>
  </w:style>
  <w:style w:type="paragraph" w:customStyle="1" w:styleId="BodyTextSecondIndent">
    <w:name w:val="Body Text Second Indent"/>
    <w:basedOn w:val="Normal"/>
    <w:pPr>
      <w:spacing w:after="120" w:line="480" w:lineRule="auto"/>
      <w:ind w:left="1152"/>
    </w:pPr>
  </w:style>
  <w:style w:type="paragraph" w:customStyle="1" w:styleId="BodyText21">
    <w:name w:val="Body Text 21"/>
    <w:basedOn w:val="Normal"/>
    <w:pPr>
      <w:ind w:left="576"/>
    </w:pPr>
    <w:rPr>
      <w:b/>
      <w:smallCaps/>
    </w:rPr>
  </w:style>
  <w:style w:type="paragraph" w:styleId="Footer">
    <w:name w:val="footer"/>
    <w:basedOn w:val="Normal"/>
    <w:link w:val="FooterChar"/>
    <w:pPr>
      <w:tabs>
        <w:tab w:val="center" w:pos="4320"/>
        <w:tab w:val="right" w:pos="8640"/>
      </w:tabs>
    </w:pPr>
    <w:rPr>
      <w:sz w:val="18"/>
    </w:rPr>
  </w:style>
  <w:style w:type="paragraph" w:customStyle="1" w:styleId="NumberList">
    <w:name w:val="Number List"/>
    <w:basedOn w:val="Bullet"/>
    <w:pPr>
      <w:ind w:left="360" w:firstLine="72"/>
    </w:pPr>
  </w:style>
  <w:style w:type="paragraph" w:customStyle="1" w:styleId="Bullet">
    <w:name w:val="Bullet"/>
    <w:basedOn w:val="Normal"/>
    <w:pPr>
      <w:tabs>
        <w:tab w:val="left" w:pos="792"/>
      </w:tabs>
      <w:ind w:left="792" w:hanging="360"/>
    </w:pPr>
  </w:style>
  <w:style w:type="paragraph" w:customStyle="1" w:styleId="DocumentTitle">
    <w:name w:val="Document Title"/>
    <w:basedOn w:val="Heading6"/>
    <w:pPr>
      <w:outlineLvl w:val="9"/>
    </w:pPr>
    <w:rPr>
      <w:caps/>
    </w:rPr>
  </w:style>
  <w:style w:type="paragraph" w:customStyle="1" w:styleId="Bullet2">
    <w:name w:val="Bullet 2"/>
    <w:basedOn w:val="Bullet"/>
    <w:pPr>
      <w:tabs>
        <w:tab w:val="clear" w:pos="792"/>
        <w:tab w:val="left" w:pos="1224"/>
      </w:tabs>
      <w:ind w:left="1224"/>
    </w:pPr>
  </w:style>
  <w:style w:type="paragraph" w:customStyle="1" w:styleId="Authorname">
    <w:name w:val="Author name"/>
    <w:basedOn w:val="Normal"/>
    <w:rPr>
      <w:b/>
      <w:smallCaps/>
      <w:color w:val="000080"/>
    </w:rPr>
  </w:style>
  <w:style w:type="paragraph" w:styleId="BodyText2">
    <w:name w:val="Body Text 2"/>
    <w:basedOn w:val="Normal"/>
    <w:rPr>
      <w:i/>
    </w:rPr>
  </w:style>
  <w:style w:type="paragraph" w:styleId="TOC2">
    <w:name w:val="toc 2"/>
    <w:basedOn w:val="Normal"/>
    <w:next w:val="Normal"/>
    <w:autoRedefine/>
    <w:semiHidden/>
    <w:pPr>
      <w:tabs>
        <w:tab w:val="right" w:pos="6804"/>
      </w:tabs>
    </w:pPr>
    <w:rPr>
      <w:rFonts w:ascii="Verdana" w:hAnsi="Verdana"/>
      <w:smallCaps/>
      <w:sz w:val="16"/>
    </w:rPr>
  </w:style>
  <w:style w:type="paragraph" w:styleId="TOC1">
    <w:name w:val="toc 1"/>
    <w:basedOn w:val="Normal"/>
    <w:next w:val="Normal"/>
    <w:autoRedefine/>
    <w:semiHidden/>
    <w:rPr>
      <w:lang w:eastAsia="en-US"/>
    </w:rPr>
  </w:style>
  <w:style w:type="paragraph" w:customStyle="1" w:styleId="IntroPara">
    <w:name w:val="IntroPara"/>
    <w:basedOn w:val="Normal"/>
    <w:pPr>
      <w:spacing w:after="240"/>
    </w:pPr>
    <w:rPr>
      <w:szCs w:val="24"/>
      <w:lang w:val="en-AU" w:eastAsia="en-US"/>
    </w:rPr>
  </w:style>
  <w:style w:type="paragraph" w:customStyle="1" w:styleId="SectionSubHeading">
    <w:name w:val="SectionSubHeading"/>
    <w:basedOn w:val="Normal"/>
    <w:pPr>
      <w:spacing w:after="240"/>
    </w:pPr>
    <w:rPr>
      <w:b/>
      <w:bCs/>
      <w:szCs w:val="24"/>
      <w:lang w:val="en-AU" w:eastAsia="en-US"/>
    </w:rPr>
  </w:style>
  <w:style w:type="paragraph" w:customStyle="1" w:styleId="SectionedBullet">
    <w:name w:val="SectionedBullet"/>
    <w:basedOn w:val="Normal"/>
    <w:pPr>
      <w:numPr>
        <w:numId w:val="2"/>
      </w:numPr>
      <w:spacing w:after="240"/>
    </w:pPr>
    <w:rPr>
      <w:szCs w:val="24"/>
      <w:lang w:val="en-AU" w:eastAsia="en-US"/>
    </w:rPr>
  </w:style>
  <w:style w:type="paragraph" w:customStyle="1" w:styleId="MasterTitle1">
    <w:name w:val="Master Title 1"/>
    <w:basedOn w:val="Normal"/>
    <w:next w:val="Normal"/>
    <w:pPr>
      <w:spacing w:before="1080"/>
      <w:jc w:val="both"/>
    </w:pPr>
    <w:rPr>
      <w:b/>
      <w:sz w:val="48"/>
      <w:lang w:eastAsia="en-US"/>
    </w:rPr>
  </w:style>
  <w:style w:type="paragraph" w:customStyle="1" w:styleId="MasterTitle2">
    <w:name w:val="Master Title 2"/>
    <w:basedOn w:val="MasterTitle1"/>
    <w:next w:val="Normal"/>
    <w:pPr>
      <w:spacing w:before="0"/>
    </w:pPr>
  </w:style>
  <w:style w:type="character" w:styleId="Hyperlink">
    <w:name w:val="Hyperlink"/>
    <w:rPr>
      <w:color w:val="0000FF"/>
      <w:u w:val="single"/>
    </w:rPr>
  </w:style>
  <w:style w:type="paragraph" w:styleId="BodyText3">
    <w:name w:val="Body Text 3"/>
    <w:basedOn w:val="Normal"/>
    <w:pPr>
      <w:numPr>
        <w:ilvl w:val="12"/>
      </w:numPr>
      <w:jc w:val="both"/>
    </w:pPr>
    <w:rPr>
      <w:i/>
      <w:iCs/>
      <w:szCs w:val="16"/>
    </w:rPr>
  </w:style>
  <w:style w:type="paragraph" w:styleId="Index9">
    <w:name w:val="index 9"/>
    <w:basedOn w:val="Normal"/>
    <w:next w:val="Normal"/>
    <w:autoRedefine/>
    <w:semiHidden/>
    <w:pPr>
      <w:tabs>
        <w:tab w:val="right" w:pos="9029"/>
      </w:tabs>
      <w:ind w:left="2160" w:hanging="240"/>
    </w:pPr>
    <w:rPr>
      <w:rFonts w:ascii="Verdana" w:hAnsi="Verdana"/>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447"/>
    <w:pPr>
      <w:ind w:left="720"/>
      <w:contextualSpacing/>
    </w:pPr>
    <w:rPr>
      <w:rFonts w:ascii="Times New Roman" w:hAnsi="Times New Roman"/>
      <w:szCs w:val="24"/>
    </w:rPr>
  </w:style>
  <w:style w:type="paragraph" w:styleId="BalloonText">
    <w:name w:val="Balloon Text"/>
    <w:basedOn w:val="Normal"/>
    <w:link w:val="BalloonTextChar"/>
    <w:rsid w:val="00F83685"/>
    <w:rPr>
      <w:rFonts w:ascii="Segoe UI" w:hAnsi="Segoe UI" w:cs="Segoe UI"/>
      <w:sz w:val="18"/>
      <w:szCs w:val="18"/>
    </w:rPr>
  </w:style>
  <w:style w:type="character" w:customStyle="1" w:styleId="BalloonTextChar">
    <w:name w:val="Balloon Text Char"/>
    <w:link w:val="BalloonText"/>
    <w:rsid w:val="00F83685"/>
    <w:rPr>
      <w:rFonts w:ascii="Segoe UI" w:hAnsi="Segoe UI" w:cs="Segoe UI"/>
      <w:sz w:val="18"/>
      <w:szCs w:val="18"/>
    </w:rPr>
  </w:style>
  <w:style w:type="character" w:customStyle="1" w:styleId="HeaderChar">
    <w:name w:val="Header Char"/>
    <w:basedOn w:val="DefaultParagraphFont"/>
    <w:link w:val="Header"/>
    <w:rsid w:val="00A92DB4"/>
    <w:rPr>
      <w:rFonts w:ascii="Arial" w:hAnsi="Arial"/>
      <w:smallCaps/>
      <w:sz w:val="16"/>
      <w:lang w:eastAsia="en-GB"/>
    </w:rPr>
  </w:style>
  <w:style w:type="character" w:customStyle="1" w:styleId="FooterChar">
    <w:name w:val="Footer Char"/>
    <w:basedOn w:val="DefaultParagraphFont"/>
    <w:link w:val="Footer"/>
    <w:rsid w:val="00A92DB4"/>
    <w:rPr>
      <w:rFonts w:ascii="Arial" w:hAnsi="Arial"/>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275576">
      <w:bodyDiv w:val="1"/>
      <w:marLeft w:val="0"/>
      <w:marRight w:val="0"/>
      <w:marTop w:val="0"/>
      <w:marBottom w:val="0"/>
      <w:divBdr>
        <w:top w:val="none" w:sz="0" w:space="0" w:color="auto"/>
        <w:left w:val="none" w:sz="0" w:space="0" w:color="auto"/>
        <w:bottom w:val="none" w:sz="0" w:space="0" w:color="auto"/>
        <w:right w:val="none" w:sz="0" w:space="0" w:color="auto"/>
      </w:divBdr>
      <w:divsChild>
        <w:div w:id="41562955">
          <w:marLeft w:val="446"/>
          <w:marRight w:val="0"/>
          <w:marTop w:val="0"/>
          <w:marBottom w:val="0"/>
          <w:divBdr>
            <w:top w:val="none" w:sz="0" w:space="0" w:color="auto"/>
            <w:left w:val="none" w:sz="0" w:space="0" w:color="auto"/>
            <w:bottom w:val="none" w:sz="0" w:space="0" w:color="auto"/>
            <w:right w:val="none" w:sz="0" w:space="0" w:color="auto"/>
          </w:divBdr>
        </w:div>
        <w:div w:id="1013459702">
          <w:marLeft w:val="446"/>
          <w:marRight w:val="0"/>
          <w:marTop w:val="0"/>
          <w:marBottom w:val="0"/>
          <w:divBdr>
            <w:top w:val="none" w:sz="0" w:space="0" w:color="auto"/>
            <w:left w:val="none" w:sz="0" w:space="0" w:color="auto"/>
            <w:bottom w:val="none" w:sz="0" w:space="0" w:color="auto"/>
            <w:right w:val="none" w:sz="0" w:space="0" w:color="auto"/>
          </w:divBdr>
        </w:div>
        <w:div w:id="1184517895">
          <w:marLeft w:val="446"/>
          <w:marRight w:val="0"/>
          <w:marTop w:val="0"/>
          <w:marBottom w:val="0"/>
          <w:divBdr>
            <w:top w:val="none" w:sz="0" w:space="0" w:color="auto"/>
            <w:left w:val="none" w:sz="0" w:space="0" w:color="auto"/>
            <w:bottom w:val="none" w:sz="0" w:space="0" w:color="auto"/>
            <w:right w:val="none" w:sz="0" w:space="0" w:color="auto"/>
          </w:divBdr>
        </w:div>
        <w:div w:id="1405184417">
          <w:marLeft w:val="446"/>
          <w:marRight w:val="0"/>
          <w:marTop w:val="0"/>
          <w:marBottom w:val="0"/>
          <w:divBdr>
            <w:top w:val="none" w:sz="0" w:space="0" w:color="auto"/>
            <w:left w:val="none" w:sz="0" w:space="0" w:color="auto"/>
            <w:bottom w:val="none" w:sz="0" w:space="0" w:color="auto"/>
            <w:right w:val="none" w:sz="0" w:space="0" w:color="auto"/>
          </w:divBdr>
        </w:div>
        <w:div w:id="2072117782">
          <w:marLeft w:val="446"/>
          <w:marRight w:val="0"/>
          <w:marTop w:val="0"/>
          <w:marBottom w:val="0"/>
          <w:divBdr>
            <w:top w:val="none" w:sz="0" w:space="0" w:color="auto"/>
            <w:left w:val="none" w:sz="0" w:space="0" w:color="auto"/>
            <w:bottom w:val="none" w:sz="0" w:space="0" w:color="auto"/>
            <w:right w:val="none" w:sz="0" w:space="0" w:color="auto"/>
          </w:divBdr>
        </w:div>
      </w:divsChild>
    </w:div>
    <w:div w:id="1526137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Data" Target="diagrams/data1.xml"/><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indscope%20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22F156-85BB-41D6-9571-BCD14FCF4DA3}" type="doc">
      <dgm:prSet loTypeId="urn:microsoft.com/office/officeart/2005/8/layout/orgChart1" loCatId="hierarchy" qsTypeId="urn:microsoft.com/office/officeart/2005/8/quickstyle/simple1" qsCatId="simple" csTypeId="urn:microsoft.com/office/officeart/2005/8/colors/accent1_2" csCatId="accent1"/>
      <dgm:spPr/>
    </dgm:pt>
    <dgm:pt modelId="{64C9B94C-CE29-491E-B3D5-A32F229B7DF1}">
      <dgm:prSet/>
      <dgm:spPr>
        <a:xfrm>
          <a:off x="3633293" y="165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t>Asset Management </a:t>
          </a:r>
        </a:p>
        <a:p>
          <a:pPr marR="0" algn="ctr" rtl="0">
            <a:buNone/>
          </a:pPr>
          <a: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t>Review Group</a:t>
          </a:r>
          <a:endParaRPr lang="en-GB">
            <a:solidFill>
              <a:sysClr val="window" lastClr="FFFFFF"/>
            </a:solidFill>
            <a:latin typeface="Calibri" panose="020F0502020204030204"/>
            <a:ea typeface="+mn-ea"/>
            <a:cs typeface="+mn-cs"/>
          </a:endParaRPr>
        </a:p>
      </dgm:t>
    </dgm:pt>
    <dgm:pt modelId="{25A9D013-870A-4667-BFFE-48E64E4C0A08}" type="parTrans" cxnId="{1B95D26D-6646-4E24-9A16-8A0E0405FF06}">
      <dgm:prSet/>
      <dgm:spPr/>
    </dgm:pt>
    <dgm:pt modelId="{7B6B75FE-6D05-4E7C-98B8-4D82A7727A6C}" type="sibTrans" cxnId="{1B95D26D-6646-4E24-9A16-8A0E0405FF06}">
      <dgm:prSet/>
      <dgm:spPr/>
    </dgm:pt>
    <dgm:pt modelId="{C8C502C9-61D5-4D0E-BB12-1FEE052B5DF0}">
      <dgm:prSet/>
      <dgm:spPr>
        <a:xfrm>
          <a:off x="1156814" y="72822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t>Legal</a:t>
          </a:r>
        </a:p>
        <a:p>
          <a:pPr marR="0" algn="ctr" rtl="0">
            <a:buNone/>
          </a:pPr>
          <a:endPar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endParaRPr>
        </a:p>
      </dgm:t>
    </dgm:pt>
    <dgm:pt modelId="{DBAEE6DB-138B-491E-BFDA-6DEAD70C8367}" type="parTrans" cxnId="{1FE7F773-8853-4BA5-AFEF-C1FD2E4327D8}">
      <dgm:prSet/>
      <dgm:spPr>
        <a:xfrm>
          <a:off x="1668484" y="513319"/>
          <a:ext cx="2476478" cy="214901"/>
        </a:xfrm>
        <a:custGeom>
          <a:avLst/>
          <a:gdLst/>
          <a:ahLst/>
          <a:cxnLst/>
          <a:rect l="0" t="0" r="0" b="0"/>
          <a:pathLst>
            <a:path>
              <a:moveTo>
                <a:pt x="2476478" y="0"/>
              </a:moveTo>
              <a:lnTo>
                <a:pt x="2476478" y="107450"/>
              </a:lnTo>
              <a:lnTo>
                <a:pt x="0" y="107450"/>
              </a:lnTo>
              <a:lnTo>
                <a:pt x="0" y="214901"/>
              </a:lnTo>
            </a:path>
          </a:pathLst>
        </a:custGeom>
        <a:noFill/>
        <a:ln w="12700" cap="flat" cmpd="sng" algn="ctr">
          <a:solidFill>
            <a:srgbClr val="4472C4">
              <a:shade val="60000"/>
              <a:hueOff val="0"/>
              <a:satOff val="0"/>
              <a:lumOff val="0"/>
              <a:alphaOff val="0"/>
            </a:srgbClr>
          </a:solidFill>
          <a:prstDash val="solid"/>
          <a:miter lim="800000"/>
        </a:ln>
        <a:effectLst/>
      </dgm:spPr>
    </dgm:pt>
    <dgm:pt modelId="{FC8057B4-730D-4FE5-98C0-D8B8141C0126}" type="sibTrans" cxnId="{1FE7F773-8853-4BA5-AFEF-C1FD2E4327D8}">
      <dgm:prSet/>
      <dgm:spPr/>
    </dgm:pt>
    <dgm:pt modelId="{2740DE22-F354-48B6-9B35-C7BAF93A22E4}">
      <dgm:prSet/>
      <dgm:spPr>
        <a:xfrm>
          <a:off x="537695" y="145479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t>Insurance </a:t>
          </a:r>
          <a:endParaRPr lang="en-GB">
            <a:solidFill>
              <a:sysClr val="window" lastClr="FFFFFF"/>
            </a:solidFill>
            <a:latin typeface="Calibri" panose="020F0502020204030204"/>
            <a:ea typeface="+mn-ea"/>
            <a:cs typeface="+mn-cs"/>
          </a:endParaRPr>
        </a:p>
      </dgm:t>
    </dgm:pt>
    <dgm:pt modelId="{25F9AFD2-A9BC-4045-BB62-1DB6BC85FC75}" type="parTrans" cxnId="{AC89CAE2-3583-4CEF-9DF0-3DEAE4028024}">
      <dgm:prSet/>
      <dgm:spPr>
        <a:xfrm>
          <a:off x="1561033" y="1239889"/>
          <a:ext cx="107450" cy="470735"/>
        </a:xfrm>
        <a:custGeom>
          <a:avLst/>
          <a:gdLst/>
          <a:ahLst/>
          <a:cxnLst/>
          <a:rect l="0" t="0" r="0" b="0"/>
          <a:pathLst>
            <a:path>
              <a:moveTo>
                <a:pt x="107450" y="0"/>
              </a:moveTo>
              <a:lnTo>
                <a:pt x="107450" y="470735"/>
              </a:lnTo>
              <a:lnTo>
                <a:pt x="0" y="470735"/>
              </a:lnTo>
            </a:path>
          </a:pathLst>
        </a:custGeom>
        <a:noFill/>
        <a:ln w="12700" cap="flat" cmpd="sng" algn="ctr">
          <a:solidFill>
            <a:srgbClr val="4472C4">
              <a:shade val="80000"/>
              <a:hueOff val="0"/>
              <a:satOff val="0"/>
              <a:lumOff val="0"/>
              <a:alphaOff val="0"/>
            </a:srgbClr>
          </a:solidFill>
          <a:prstDash val="solid"/>
          <a:miter lim="800000"/>
        </a:ln>
        <a:effectLst/>
      </dgm:spPr>
    </dgm:pt>
    <dgm:pt modelId="{9C5FC711-DACD-45E1-B9BA-D2870BC94179}" type="sibTrans" cxnId="{AC89CAE2-3583-4CEF-9DF0-3DEAE4028024}">
      <dgm:prSet/>
      <dgm:spPr/>
    </dgm:pt>
    <dgm:pt modelId="{E3CCFFA0-869C-4918-84D3-14F4685B2561}">
      <dgm:prSet/>
      <dgm:spPr>
        <a:xfrm>
          <a:off x="1775934" y="145479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t>Contractual</a:t>
          </a:r>
        </a:p>
        <a:p>
          <a:pPr marR="0" algn="ctr" rtl="0">
            <a:buNone/>
          </a:pPr>
          <a: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t>Adherence</a:t>
          </a:r>
        </a:p>
        <a:p>
          <a:pPr marR="0" algn="ctr" rtl="0">
            <a:buNone/>
          </a:pPr>
          <a: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t>Lease arrangements</a:t>
          </a:r>
          <a:endParaRPr lang="en-GB">
            <a:solidFill>
              <a:sysClr val="window" lastClr="FFFFFF"/>
            </a:solidFill>
            <a:latin typeface="Calibri" panose="020F0502020204030204"/>
            <a:ea typeface="+mn-ea"/>
            <a:cs typeface="+mn-cs"/>
          </a:endParaRPr>
        </a:p>
      </dgm:t>
    </dgm:pt>
    <dgm:pt modelId="{E9E2CF7B-87DA-48AA-A08A-FB90E69CE879}" type="parTrans" cxnId="{E3311C68-7A4E-486B-A063-FB4C50A72905}">
      <dgm:prSet/>
      <dgm:spPr>
        <a:xfrm>
          <a:off x="1668484" y="1239889"/>
          <a:ext cx="107450" cy="470735"/>
        </a:xfrm>
        <a:custGeom>
          <a:avLst/>
          <a:gdLst/>
          <a:ahLst/>
          <a:cxnLst/>
          <a:rect l="0" t="0" r="0" b="0"/>
          <a:pathLst>
            <a:path>
              <a:moveTo>
                <a:pt x="0" y="0"/>
              </a:moveTo>
              <a:lnTo>
                <a:pt x="0" y="470735"/>
              </a:lnTo>
              <a:lnTo>
                <a:pt x="107450" y="470735"/>
              </a:lnTo>
            </a:path>
          </a:pathLst>
        </a:custGeom>
        <a:noFill/>
        <a:ln w="12700" cap="flat" cmpd="sng" algn="ctr">
          <a:solidFill>
            <a:srgbClr val="4472C4">
              <a:shade val="80000"/>
              <a:hueOff val="0"/>
              <a:satOff val="0"/>
              <a:lumOff val="0"/>
              <a:alphaOff val="0"/>
            </a:srgbClr>
          </a:solidFill>
          <a:prstDash val="solid"/>
          <a:miter lim="800000"/>
        </a:ln>
        <a:effectLst/>
      </dgm:spPr>
    </dgm:pt>
    <dgm:pt modelId="{E0F48B06-E166-4C31-BD54-7E913D631172}" type="sibTrans" cxnId="{E3311C68-7A4E-486B-A063-FB4C50A72905}">
      <dgm:prSet/>
      <dgm:spPr/>
    </dgm:pt>
    <dgm:pt modelId="{7E2613F5-6BCB-4969-B2AE-4A82606AEA06}">
      <dgm:prSet/>
      <dgm:spPr>
        <a:xfrm>
          <a:off x="537695" y="218136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t>Compliance</a:t>
          </a:r>
          <a:b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br>
          <a: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t>Government</a:t>
          </a:r>
          <a:b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br>
          <a: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t>Financial</a:t>
          </a:r>
          <a:endParaRPr lang="en-GB">
            <a:solidFill>
              <a:sysClr val="window" lastClr="FFFFFF"/>
            </a:solidFill>
            <a:latin typeface="Calibri" panose="020F0502020204030204"/>
            <a:ea typeface="+mn-ea"/>
            <a:cs typeface="+mn-cs"/>
          </a:endParaRPr>
        </a:p>
      </dgm:t>
    </dgm:pt>
    <dgm:pt modelId="{B2E61F45-F9BC-4D83-9289-717C8FFD8248}" type="parTrans" cxnId="{B2C3BE2F-1641-4C6D-A549-436669C0C7D4}">
      <dgm:prSet/>
      <dgm:spPr>
        <a:xfrm>
          <a:off x="1561033" y="1239889"/>
          <a:ext cx="107450" cy="1197305"/>
        </a:xfrm>
        <a:custGeom>
          <a:avLst/>
          <a:gdLst/>
          <a:ahLst/>
          <a:cxnLst/>
          <a:rect l="0" t="0" r="0" b="0"/>
          <a:pathLst>
            <a:path>
              <a:moveTo>
                <a:pt x="107450" y="0"/>
              </a:moveTo>
              <a:lnTo>
                <a:pt x="107450" y="1197305"/>
              </a:lnTo>
              <a:lnTo>
                <a:pt x="0" y="1197305"/>
              </a:lnTo>
            </a:path>
          </a:pathLst>
        </a:custGeom>
        <a:noFill/>
        <a:ln w="12700" cap="flat" cmpd="sng" algn="ctr">
          <a:solidFill>
            <a:srgbClr val="4472C4">
              <a:shade val="80000"/>
              <a:hueOff val="0"/>
              <a:satOff val="0"/>
              <a:lumOff val="0"/>
              <a:alphaOff val="0"/>
            </a:srgbClr>
          </a:solidFill>
          <a:prstDash val="solid"/>
          <a:miter lim="800000"/>
        </a:ln>
        <a:effectLst/>
      </dgm:spPr>
    </dgm:pt>
    <dgm:pt modelId="{D3E4573D-8F23-4925-8E01-FB1B0412F350}" type="sibTrans" cxnId="{B2C3BE2F-1641-4C6D-A549-436669C0C7D4}">
      <dgm:prSet/>
      <dgm:spPr/>
    </dgm:pt>
    <dgm:pt modelId="{50064438-B26E-46B2-9CC1-934497CEAD38}">
      <dgm:prSet/>
      <dgm:spPr>
        <a:xfrm>
          <a:off x="3633293" y="72822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t>Financial</a:t>
          </a:r>
          <a:endParaRPr lang="en-GB">
            <a:solidFill>
              <a:sysClr val="window" lastClr="FFFFFF"/>
            </a:solidFill>
            <a:latin typeface="Calibri" panose="020F0502020204030204"/>
            <a:ea typeface="+mn-ea"/>
            <a:cs typeface="+mn-cs"/>
          </a:endParaRPr>
        </a:p>
      </dgm:t>
    </dgm:pt>
    <dgm:pt modelId="{1C7DE301-6903-4CC5-B772-CBDE3F021C48}" type="parTrans" cxnId="{55880E37-8EFE-41DC-A9DA-F4A66A98E3AF}">
      <dgm:prSet/>
      <dgm:spPr>
        <a:xfrm>
          <a:off x="4099242" y="513319"/>
          <a:ext cx="91440" cy="214901"/>
        </a:xfrm>
        <a:custGeom>
          <a:avLst/>
          <a:gdLst/>
          <a:ahLst/>
          <a:cxnLst/>
          <a:rect l="0" t="0" r="0" b="0"/>
          <a:pathLst>
            <a:path>
              <a:moveTo>
                <a:pt x="45720" y="0"/>
              </a:moveTo>
              <a:lnTo>
                <a:pt x="45720" y="214901"/>
              </a:lnTo>
            </a:path>
          </a:pathLst>
        </a:custGeom>
        <a:noFill/>
        <a:ln w="12700" cap="flat" cmpd="sng" algn="ctr">
          <a:solidFill>
            <a:srgbClr val="4472C4">
              <a:shade val="60000"/>
              <a:hueOff val="0"/>
              <a:satOff val="0"/>
              <a:lumOff val="0"/>
              <a:alphaOff val="0"/>
            </a:srgbClr>
          </a:solidFill>
          <a:prstDash val="solid"/>
          <a:miter lim="800000"/>
        </a:ln>
        <a:effectLst/>
      </dgm:spPr>
    </dgm:pt>
    <dgm:pt modelId="{E4511F81-3883-42EC-BBF9-AD7E8768C331}" type="sibTrans" cxnId="{55880E37-8EFE-41DC-A9DA-F4A66A98E3AF}">
      <dgm:prSet/>
      <dgm:spPr/>
    </dgm:pt>
    <dgm:pt modelId="{453B025F-23A5-4564-96FC-6CFDC47F190E}">
      <dgm:prSet/>
      <dgm:spPr>
        <a:xfrm>
          <a:off x="3014173" y="145479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t>Asset Valuations</a:t>
          </a:r>
          <a:endParaRPr lang="en-GB">
            <a:solidFill>
              <a:sysClr val="window" lastClr="FFFFFF"/>
            </a:solidFill>
            <a:latin typeface="Calibri" panose="020F0502020204030204"/>
            <a:ea typeface="+mn-ea"/>
            <a:cs typeface="+mn-cs"/>
          </a:endParaRPr>
        </a:p>
      </dgm:t>
    </dgm:pt>
    <dgm:pt modelId="{1ACF2EC0-B67C-4917-A457-D0FF5DC251E3}" type="parTrans" cxnId="{C0FC4BDE-AA14-49F3-B625-167D9B9C40B6}">
      <dgm:prSet/>
      <dgm:spPr>
        <a:xfrm>
          <a:off x="4037511" y="1239889"/>
          <a:ext cx="107450" cy="470735"/>
        </a:xfrm>
        <a:custGeom>
          <a:avLst/>
          <a:gdLst/>
          <a:ahLst/>
          <a:cxnLst/>
          <a:rect l="0" t="0" r="0" b="0"/>
          <a:pathLst>
            <a:path>
              <a:moveTo>
                <a:pt x="107450" y="0"/>
              </a:moveTo>
              <a:lnTo>
                <a:pt x="107450" y="470735"/>
              </a:lnTo>
              <a:lnTo>
                <a:pt x="0" y="470735"/>
              </a:lnTo>
            </a:path>
          </a:pathLst>
        </a:custGeom>
        <a:noFill/>
        <a:ln w="12700" cap="flat" cmpd="sng" algn="ctr">
          <a:solidFill>
            <a:srgbClr val="4472C4">
              <a:shade val="80000"/>
              <a:hueOff val="0"/>
              <a:satOff val="0"/>
              <a:lumOff val="0"/>
              <a:alphaOff val="0"/>
            </a:srgbClr>
          </a:solidFill>
          <a:prstDash val="solid"/>
          <a:miter lim="800000"/>
        </a:ln>
        <a:effectLst/>
      </dgm:spPr>
    </dgm:pt>
    <dgm:pt modelId="{5DA9B41E-FE60-4879-95FA-8F358678F7F1}" type="sibTrans" cxnId="{C0FC4BDE-AA14-49F3-B625-167D9B9C40B6}">
      <dgm:prSet/>
      <dgm:spPr/>
    </dgm:pt>
    <dgm:pt modelId="{A5E5A4DC-FA55-489B-A577-A7968A61E762}">
      <dgm:prSet/>
      <dgm:spPr>
        <a:xfrm>
          <a:off x="4252413" y="145479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t>Asset income monitoring and assurance </a:t>
          </a:r>
        </a:p>
      </dgm:t>
    </dgm:pt>
    <dgm:pt modelId="{CD1459A4-9F71-44D8-97C3-9A7825EAD545}" type="parTrans" cxnId="{679FCD03-18FC-4920-A3A6-3F9764896603}">
      <dgm:prSet/>
      <dgm:spPr>
        <a:xfrm>
          <a:off x="4144962" y="1239889"/>
          <a:ext cx="107450" cy="470735"/>
        </a:xfrm>
        <a:custGeom>
          <a:avLst/>
          <a:gdLst/>
          <a:ahLst/>
          <a:cxnLst/>
          <a:rect l="0" t="0" r="0" b="0"/>
          <a:pathLst>
            <a:path>
              <a:moveTo>
                <a:pt x="0" y="0"/>
              </a:moveTo>
              <a:lnTo>
                <a:pt x="0" y="470735"/>
              </a:lnTo>
              <a:lnTo>
                <a:pt x="107450" y="470735"/>
              </a:lnTo>
            </a:path>
          </a:pathLst>
        </a:custGeom>
        <a:noFill/>
        <a:ln w="12700" cap="flat" cmpd="sng" algn="ctr">
          <a:solidFill>
            <a:srgbClr val="4472C4">
              <a:shade val="80000"/>
              <a:hueOff val="0"/>
              <a:satOff val="0"/>
              <a:lumOff val="0"/>
              <a:alphaOff val="0"/>
            </a:srgbClr>
          </a:solidFill>
          <a:prstDash val="solid"/>
          <a:miter lim="800000"/>
        </a:ln>
        <a:effectLst/>
      </dgm:spPr>
    </dgm:pt>
    <dgm:pt modelId="{F983F87A-5F26-441D-94FD-711AC70F79DF}" type="sibTrans" cxnId="{679FCD03-18FC-4920-A3A6-3F9764896603}">
      <dgm:prSet/>
      <dgm:spPr/>
    </dgm:pt>
    <dgm:pt modelId="{EDE4DB66-9380-46B9-9F15-B52DDD076B65}">
      <dgm:prSet/>
      <dgm:spPr>
        <a:xfrm>
          <a:off x="3014173" y="218136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t>Lease Event Horizon Planning</a:t>
          </a:r>
        </a:p>
      </dgm:t>
    </dgm:pt>
    <dgm:pt modelId="{F4E9A719-490B-4A52-904A-7AD6CE2B6BBB}" type="parTrans" cxnId="{B1C06F9E-7AAE-4993-B1DB-55A020A7ABA7}">
      <dgm:prSet/>
      <dgm:spPr>
        <a:xfrm>
          <a:off x="4037511" y="1239889"/>
          <a:ext cx="107450" cy="1197305"/>
        </a:xfrm>
        <a:custGeom>
          <a:avLst/>
          <a:gdLst/>
          <a:ahLst/>
          <a:cxnLst/>
          <a:rect l="0" t="0" r="0" b="0"/>
          <a:pathLst>
            <a:path>
              <a:moveTo>
                <a:pt x="107450" y="0"/>
              </a:moveTo>
              <a:lnTo>
                <a:pt x="107450" y="1197305"/>
              </a:lnTo>
              <a:lnTo>
                <a:pt x="0" y="1197305"/>
              </a:lnTo>
            </a:path>
          </a:pathLst>
        </a:custGeom>
        <a:noFill/>
        <a:ln w="12700" cap="flat" cmpd="sng" algn="ctr">
          <a:solidFill>
            <a:srgbClr val="4472C4">
              <a:shade val="80000"/>
              <a:hueOff val="0"/>
              <a:satOff val="0"/>
              <a:lumOff val="0"/>
              <a:alphaOff val="0"/>
            </a:srgbClr>
          </a:solidFill>
          <a:prstDash val="solid"/>
          <a:miter lim="800000"/>
        </a:ln>
        <a:effectLst/>
      </dgm:spPr>
    </dgm:pt>
    <dgm:pt modelId="{5F55B5D6-32E0-4953-81B4-D75A43204720}" type="sibTrans" cxnId="{B1C06F9E-7AAE-4993-B1DB-55A020A7ABA7}">
      <dgm:prSet/>
      <dgm:spPr/>
    </dgm:pt>
    <dgm:pt modelId="{42E45EC0-42ED-4766-B662-042558A5F848}">
      <dgm:prSet/>
      <dgm:spPr>
        <a:xfrm>
          <a:off x="4252413" y="218136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t>Financial Forecasting and Management</a:t>
          </a:r>
          <a:endParaRPr lang="en-GB">
            <a:solidFill>
              <a:sysClr val="window" lastClr="FFFFFF"/>
            </a:solidFill>
            <a:latin typeface="Calibri" panose="020F0502020204030204"/>
            <a:ea typeface="+mn-ea"/>
            <a:cs typeface="+mn-cs"/>
          </a:endParaRPr>
        </a:p>
      </dgm:t>
    </dgm:pt>
    <dgm:pt modelId="{72DF1C4D-AD7D-4BF9-9B2C-1E8D03C7DA04}" type="parTrans" cxnId="{235302BA-EA9F-4F75-8B95-4805BDF1210D}">
      <dgm:prSet/>
      <dgm:spPr>
        <a:xfrm>
          <a:off x="4144962" y="1239889"/>
          <a:ext cx="107450" cy="1197305"/>
        </a:xfrm>
        <a:custGeom>
          <a:avLst/>
          <a:gdLst/>
          <a:ahLst/>
          <a:cxnLst/>
          <a:rect l="0" t="0" r="0" b="0"/>
          <a:pathLst>
            <a:path>
              <a:moveTo>
                <a:pt x="0" y="0"/>
              </a:moveTo>
              <a:lnTo>
                <a:pt x="0" y="1197305"/>
              </a:lnTo>
              <a:lnTo>
                <a:pt x="107450" y="1197305"/>
              </a:lnTo>
            </a:path>
          </a:pathLst>
        </a:custGeom>
        <a:noFill/>
        <a:ln w="12700" cap="flat" cmpd="sng" algn="ctr">
          <a:solidFill>
            <a:srgbClr val="4472C4">
              <a:shade val="80000"/>
              <a:hueOff val="0"/>
              <a:satOff val="0"/>
              <a:lumOff val="0"/>
              <a:alphaOff val="0"/>
            </a:srgbClr>
          </a:solidFill>
          <a:prstDash val="solid"/>
          <a:miter lim="800000"/>
        </a:ln>
        <a:effectLst/>
      </dgm:spPr>
    </dgm:pt>
    <dgm:pt modelId="{6DF3BA0F-C523-4970-8913-3C7C7DE4D3B2}" type="sibTrans" cxnId="{235302BA-EA9F-4F75-8B95-4805BDF1210D}">
      <dgm:prSet/>
      <dgm:spPr/>
    </dgm:pt>
    <dgm:pt modelId="{90C8E1C4-A691-4465-A642-185B5BA5146B}">
      <dgm:prSet/>
      <dgm:spPr>
        <a:xfrm>
          <a:off x="3014173" y="290793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t>Adherence to Government Direction</a:t>
          </a:r>
          <a:endParaRPr lang="en-GB">
            <a:solidFill>
              <a:sysClr val="window" lastClr="FFFFFF"/>
            </a:solidFill>
            <a:latin typeface="Calibri" panose="020F0502020204030204"/>
            <a:ea typeface="+mn-ea"/>
            <a:cs typeface="+mn-cs"/>
          </a:endParaRPr>
        </a:p>
      </dgm:t>
    </dgm:pt>
    <dgm:pt modelId="{C305B2F4-AD8C-404F-9BA3-83362EC43E60}" type="parTrans" cxnId="{6FD9ACA8-EC24-4568-9B70-FCE5E0E80E18}">
      <dgm:prSet/>
      <dgm:spPr>
        <a:xfrm>
          <a:off x="4037511" y="1239889"/>
          <a:ext cx="107450" cy="1923875"/>
        </a:xfrm>
        <a:custGeom>
          <a:avLst/>
          <a:gdLst/>
          <a:ahLst/>
          <a:cxnLst/>
          <a:rect l="0" t="0" r="0" b="0"/>
          <a:pathLst>
            <a:path>
              <a:moveTo>
                <a:pt x="107450" y="0"/>
              </a:moveTo>
              <a:lnTo>
                <a:pt x="107450" y="1923875"/>
              </a:lnTo>
              <a:lnTo>
                <a:pt x="0" y="1923875"/>
              </a:lnTo>
            </a:path>
          </a:pathLst>
        </a:custGeom>
        <a:noFill/>
        <a:ln w="12700" cap="flat" cmpd="sng" algn="ctr">
          <a:solidFill>
            <a:srgbClr val="4472C4">
              <a:shade val="80000"/>
              <a:hueOff val="0"/>
              <a:satOff val="0"/>
              <a:lumOff val="0"/>
              <a:alphaOff val="0"/>
            </a:srgbClr>
          </a:solidFill>
          <a:prstDash val="solid"/>
          <a:miter lim="800000"/>
        </a:ln>
        <a:effectLst/>
      </dgm:spPr>
    </dgm:pt>
    <dgm:pt modelId="{A767E4A4-B5A0-4C06-BAA4-D751FAD841EC}" type="sibTrans" cxnId="{6FD9ACA8-EC24-4568-9B70-FCE5E0E80E18}">
      <dgm:prSet/>
      <dgm:spPr/>
    </dgm:pt>
    <dgm:pt modelId="{64EE1B9E-2FBF-4B8C-ADE4-9A17ACEA8AB0}">
      <dgm:prSet/>
      <dgm:spPr>
        <a:xfrm>
          <a:off x="6109771" y="72822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t>Programme Management</a:t>
          </a:r>
          <a:endParaRPr lang="en-GB">
            <a:solidFill>
              <a:sysClr val="window" lastClr="FFFFFF"/>
            </a:solidFill>
            <a:latin typeface="Calibri" panose="020F0502020204030204"/>
            <a:ea typeface="+mn-ea"/>
            <a:cs typeface="+mn-cs"/>
          </a:endParaRPr>
        </a:p>
      </dgm:t>
    </dgm:pt>
    <dgm:pt modelId="{3C8EFAEB-673A-48B3-BEEB-D3E022C02F08}" type="parTrans" cxnId="{E9440A29-35F0-4E80-A4BB-B5B0087D7EE5}">
      <dgm:prSet/>
      <dgm:spPr>
        <a:xfrm>
          <a:off x="4144962" y="513319"/>
          <a:ext cx="2476478" cy="214901"/>
        </a:xfrm>
        <a:custGeom>
          <a:avLst/>
          <a:gdLst/>
          <a:ahLst/>
          <a:cxnLst/>
          <a:rect l="0" t="0" r="0" b="0"/>
          <a:pathLst>
            <a:path>
              <a:moveTo>
                <a:pt x="0" y="0"/>
              </a:moveTo>
              <a:lnTo>
                <a:pt x="0" y="107450"/>
              </a:lnTo>
              <a:lnTo>
                <a:pt x="2476478" y="107450"/>
              </a:lnTo>
              <a:lnTo>
                <a:pt x="2476478" y="214901"/>
              </a:lnTo>
            </a:path>
          </a:pathLst>
        </a:custGeom>
        <a:noFill/>
        <a:ln w="12700" cap="flat" cmpd="sng" algn="ctr">
          <a:solidFill>
            <a:srgbClr val="4472C4">
              <a:shade val="60000"/>
              <a:hueOff val="0"/>
              <a:satOff val="0"/>
              <a:lumOff val="0"/>
              <a:alphaOff val="0"/>
            </a:srgbClr>
          </a:solidFill>
          <a:prstDash val="solid"/>
          <a:miter lim="800000"/>
        </a:ln>
        <a:effectLst/>
      </dgm:spPr>
    </dgm:pt>
    <dgm:pt modelId="{6C3E13DF-288D-48B2-B080-3D57FD03C26A}" type="sibTrans" cxnId="{E9440A29-35F0-4E80-A4BB-B5B0087D7EE5}">
      <dgm:prSet/>
      <dgm:spPr/>
    </dgm:pt>
    <dgm:pt modelId="{1F71E093-DAD0-4B6B-9522-6CA27B3BE16F}">
      <dgm:prSet/>
      <dgm:spPr>
        <a:xfrm>
          <a:off x="5490652" y="145479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t>Risk and Issue mitigation and management</a:t>
          </a:r>
          <a:endParaRPr lang="en-GB">
            <a:solidFill>
              <a:sysClr val="window" lastClr="FFFFFF"/>
            </a:solidFill>
            <a:latin typeface="Calibri" panose="020F0502020204030204"/>
            <a:ea typeface="+mn-ea"/>
            <a:cs typeface="+mn-cs"/>
          </a:endParaRPr>
        </a:p>
      </dgm:t>
    </dgm:pt>
    <dgm:pt modelId="{E507132D-2354-4E0A-8355-5BB1A2C586E2}" type="parTrans" cxnId="{B33EFE0E-815C-4EA6-85F5-C8EE02C9AF1A}">
      <dgm:prSet/>
      <dgm:spPr>
        <a:xfrm>
          <a:off x="6513990" y="1239889"/>
          <a:ext cx="107450" cy="470735"/>
        </a:xfrm>
        <a:custGeom>
          <a:avLst/>
          <a:gdLst/>
          <a:ahLst/>
          <a:cxnLst/>
          <a:rect l="0" t="0" r="0" b="0"/>
          <a:pathLst>
            <a:path>
              <a:moveTo>
                <a:pt x="107450" y="0"/>
              </a:moveTo>
              <a:lnTo>
                <a:pt x="107450" y="470735"/>
              </a:lnTo>
              <a:lnTo>
                <a:pt x="0" y="470735"/>
              </a:lnTo>
            </a:path>
          </a:pathLst>
        </a:custGeom>
        <a:noFill/>
        <a:ln w="12700" cap="flat" cmpd="sng" algn="ctr">
          <a:solidFill>
            <a:srgbClr val="4472C4">
              <a:shade val="80000"/>
              <a:hueOff val="0"/>
              <a:satOff val="0"/>
              <a:lumOff val="0"/>
              <a:alphaOff val="0"/>
            </a:srgbClr>
          </a:solidFill>
          <a:prstDash val="solid"/>
          <a:miter lim="800000"/>
        </a:ln>
        <a:effectLst/>
      </dgm:spPr>
    </dgm:pt>
    <dgm:pt modelId="{58869F87-A91C-4E9C-80D0-A020D3E2426C}" type="sibTrans" cxnId="{B33EFE0E-815C-4EA6-85F5-C8EE02C9AF1A}">
      <dgm:prSet/>
      <dgm:spPr/>
    </dgm:pt>
    <dgm:pt modelId="{F4608112-4E9D-4612-99F4-7F06C656F7CF}">
      <dgm:prSet/>
      <dgm:spPr>
        <a:xfrm>
          <a:off x="6728891" y="145479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t>Monitor and review Commercial Investment Portfolio</a:t>
          </a:r>
          <a:endParaRPr lang="en-GB">
            <a:solidFill>
              <a:sysClr val="window" lastClr="FFFFFF"/>
            </a:solidFill>
            <a:latin typeface="Calibri" panose="020F0502020204030204"/>
            <a:ea typeface="+mn-ea"/>
            <a:cs typeface="+mn-cs"/>
          </a:endParaRPr>
        </a:p>
      </dgm:t>
    </dgm:pt>
    <dgm:pt modelId="{E7BFA328-428B-423A-9EE0-FE625BDDB9DB}" type="parTrans" cxnId="{1AE1787E-1126-4641-8564-5D01CD10A4C8}">
      <dgm:prSet/>
      <dgm:spPr>
        <a:xfrm>
          <a:off x="6621440" y="1239889"/>
          <a:ext cx="107450" cy="470735"/>
        </a:xfrm>
        <a:custGeom>
          <a:avLst/>
          <a:gdLst/>
          <a:ahLst/>
          <a:cxnLst/>
          <a:rect l="0" t="0" r="0" b="0"/>
          <a:pathLst>
            <a:path>
              <a:moveTo>
                <a:pt x="0" y="0"/>
              </a:moveTo>
              <a:lnTo>
                <a:pt x="0" y="470735"/>
              </a:lnTo>
              <a:lnTo>
                <a:pt x="107450" y="470735"/>
              </a:lnTo>
            </a:path>
          </a:pathLst>
        </a:custGeom>
        <a:noFill/>
        <a:ln w="12700" cap="flat" cmpd="sng" algn="ctr">
          <a:solidFill>
            <a:srgbClr val="4472C4">
              <a:shade val="80000"/>
              <a:hueOff val="0"/>
              <a:satOff val="0"/>
              <a:lumOff val="0"/>
              <a:alphaOff val="0"/>
            </a:srgbClr>
          </a:solidFill>
          <a:prstDash val="solid"/>
          <a:miter lim="800000"/>
        </a:ln>
        <a:effectLst/>
      </dgm:spPr>
    </dgm:pt>
    <dgm:pt modelId="{32FF14FC-B3B0-44F7-B845-E9DDC6ECA59B}" type="sibTrans" cxnId="{1AE1787E-1126-4641-8564-5D01CD10A4C8}">
      <dgm:prSet/>
      <dgm:spPr/>
    </dgm:pt>
    <dgm:pt modelId="{DE57D53F-830D-48A7-8F28-6A0B17B9E89B}">
      <dgm:prSet/>
      <dgm:spPr>
        <a:xfrm>
          <a:off x="5490652" y="218136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t>Align Legal, Financial and Asset  Management processes </a:t>
          </a:r>
          <a:endParaRPr lang="en-GB">
            <a:solidFill>
              <a:sysClr val="window" lastClr="FFFFFF"/>
            </a:solidFill>
            <a:latin typeface="Calibri" panose="020F0502020204030204"/>
            <a:ea typeface="+mn-ea"/>
            <a:cs typeface="+mn-cs"/>
          </a:endParaRPr>
        </a:p>
      </dgm:t>
    </dgm:pt>
    <dgm:pt modelId="{D2E3BAC1-E6B7-41E4-B19B-A7FDFBC71419}" type="parTrans" cxnId="{24F359D5-D1F5-41C3-A13B-83E453DD52BB}">
      <dgm:prSet/>
      <dgm:spPr>
        <a:xfrm>
          <a:off x="6513990" y="1239889"/>
          <a:ext cx="107450" cy="1197305"/>
        </a:xfrm>
        <a:custGeom>
          <a:avLst/>
          <a:gdLst/>
          <a:ahLst/>
          <a:cxnLst/>
          <a:rect l="0" t="0" r="0" b="0"/>
          <a:pathLst>
            <a:path>
              <a:moveTo>
                <a:pt x="107450" y="0"/>
              </a:moveTo>
              <a:lnTo>
                <a:pt x="107450" y="1197305"/>
              </a:lnTo>
              <a:lnTo>
                <a:pt x="0" y="1197305"/>
              </a:lnTo>
            </a:path>
          </a:pathLst>
        </a:custGeom>
        <a:noFill/>
        <a:ln w="12700" cap="flat" cmpd="sng" algn="ctr">
          <a:solidFill>
            <a:srgbClr val="4472C4">
              <a:shade val="80000"/>
              <a:hueOff val="0"/>
              <a:satOff val="0"/>
              <a:lumOff val="0"/>
              <a:alphaOff val="0"/>
            </a:srgbClr>
          </a:solidFill>
          <a:prstDash val="solid"/>
          <a:miter lim="800000"/>
        </a:ln>
        <a:effectLst/>
      </dgm:spPr>
    </dgm:pt>
    <dgm:pt modelId="{B7E671A4-4C8C-4747-95DF-FF1C36F4E2E0}" type="sibTrans" cxnId="{24F359D5-D1F5-41C3-A13B-83E453DD52BB}">
      <dgm:prSet/>
      <dgm:spPr/>
    </dgm:pt>
    <dgm:pt modelId="{A1182017-3BB5-49AA-AE04-3B69AC745703}">
      <dgm:prSet/>
      <dgm:spPr>
        <a:xfrm>
          <a:off x="6728891" y="218136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t>Strategic Forecasting and management</a:t>
          </a:r>
        </a:p>
      </dgm:t>
    </dgm:pt>
    <dgm:pt modelId="{8161CED9-56D9-458A-840A-F38B3EB8D87E}" type="parTrans" cxnId="{00A1CCE3-3CFB-4C22-92B9-6E54C95F80EA}">
      <dgm:prSet/>
      <dgm:spPr>
        <a:xfrm>
          <a:off x="6621440" y="1239889"/>
          <a:ext cx="107450" cy="1197305"/>
        </a:xfrm>
        <a:custGeom>
          <a:avLst/>
          <a:gdLst/>
          <a:ahLst/>
          <a:cxnLst/>
          <a:rect l="0" t="0" r="0" b="0"/>
          <a:pathLst>
            <a:path>
              <a:moveTo>
                <a:pt x="0" y="0"/>
              </a:moveTo>
              <a:lnTo>
                <a:pt x="0" y="1197305"/>
              </a:lnTo>
              <a:lnTo>
                <a:pt x="107450" y="1197305"/>
              </a:lnTo>
            </a:path>
          </a:pathLst>
        </a:custGeom>
        <a:noFill/>
        <a:ln w="12700" cap="flat" cmpd="sng" algn="ctr">
          <a:solidFill>
            <a:srgbClr val="4472C4">
              <a:shade val="80000"/>
              <a:hueOff val="0"/>
              <a:satOff val="0"/>
              <a:lumOff val="0"/>
              <a:alphaOff val="0"/>
            </a:srgbClr>
          </a:solidFill>
          <a:prstDash val="solid"/>
          <a:miter lim="800000"/>
        </a:ln>
        <a:effectLst/>
      </dgm:spPr>
    </dgm:pt>
    <dgm:pt modelId="{66C919D9-C23F-46B2-9627-D1535D58215F}" type="sibTrans" cxnId="{00A1CCE3-3CFB-4C22-92B9-6E54C95F80EA}">
      <dgm:prSet/>
      <dgm:spPr/>
    </dgm:pt>
    <dgm:pt modelId="{13B86B6F-FF7D-43A4-A1E6-CE1507A9A9D1}">
      <dgm:prSet/>
      <dgm:spPr>
        <a:xfrm>
          <a:off x="5490652" y="290793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t>Soft Market Testing</a:t>
          </a:r>
          <a:endParaRPr lang="en-GB">
            <a:solidFill>
              <a:sysClr val="window" lastClr="FFFFFF"/>
            </a:solidFill>
            <a:latin typeface="Calibri" panose="020F0502020204030204"/>
            <a:ea typeface="+mn-ea"/>
            <a:cs typeface="+mn-cs"/>
          </a:endParaRPr>
        </a:p>
      </dgm:t>
    </dgm:pt>
    <dgm:pt modelId="{9D5B83A2-8622-4BCC-AEA4-BDDA812495D4}" type="parTrans" cxnId="{8BB03EAE-9543-42A5-92ED-0CD7165ACCA9}">
      <dgm:prSet/>
      <dgm:spPr>
        <a:xfrm>
          <a:off x="6513990" y="1239889"/>
          <a:ext cx="107450" cy="1923875"/>
        </a:xfrm>
        <a:custGeom>
          <a:avLst/>
          <a:gdLst/>
          <a:ahLst/>
          <a:cxnLst/>
          <a:rect l="0" t="0" r="0" b="0"/>
          <a:pathLst>
            <a:path>
              <a:moveTo>
                <a:pt x="107450" y="0"/>
              </a:moveTo>
              <a:lnTo>
                <a:pt x="107450" y="1923875"/>
              </a:lnTo>
              <a:lnTo>
                <a:pt x="0" y="1923875"/>
              </a:lnTo>
            </a:path>
          </a:pathLst>
        </a:custGeom>
        <a:noFill/>
        <a:ln w="12700" cap="flat" cmpd="sng" algn="ctr">
          <a:solidFill>
            <a:srgbClr val="4472C4">
              <a:shade val="80000"/>
              <a:hueOff val="0"/>
              <a:satOff val="0"/>
              <a:lumOff val="0"/>
              <a:alphaOff val="0"/>
            </a:srgbClr>
          </a:solidFill>
          <a:prstDash val="solid"/>
          <a:miter lim="800000"/>
        </a:ln>
        <a:effectLst/>
      </dgm:spPr>
    </dgm:pt>
    <dgm:pt modelId="{D21E6E4F-8652-4201-8254-99C9F957F598}" type="sibTrans" cxnId="{8BB03EAE-9543-42A5-92ED-0CD7165ACCA9}">
      <dgm:prSet/>
      <dgm:spPr/>
    </dgm:pt>
    <dgm:pt modelId="{763B49F3-3985-4E9C-B77C-F9A7ED6C2D28}">
      <dgm:prSet/>
      <dgm:spPr>
        <a:xfrm>
          <a:off x="6728891" y="290793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t>Options Appraisal</a:t>
          </a:r>
          <a:endParaRPr lang="en-GB">
            <a:solidFill>
              <a:sysClr val="window" lastClr="FFFFFF"/>
            </a:solidFill>
            <a:latin typeface="Calibri" panose="020F0502020204030204"/>
            <a:ea typeface="+mn-ea"/>
            <a:cs typeface="+mn-cs"/>
          </a:endParaRPr>
        </a:p>
      </dgm:t>
    </dgm:pt>
    <dgm:pt modelId="{D3B7B667-5D8F-4950-87B9-440B2B8A0802}" type="parTrans" cxnId="{35757678-B889-4492-A7A2-A7B0223DBEB8}">
      <dgm:prSet/>
      <dgm:spPr>
        <a:xfrm>
          <a:off x="6621440" y="1239889"/>
          <a:ext cx="107450" cy="1923875"/>
        </a:xfrm>
        <a:custGeom>
          <a:avLst/>
          <a:gdLst/>
          <a:ahLst/>
          <a:cxnLst/>
          <a:rect l="0" t="0" r="0" b="0"/>
          <a:pathLst>
            <a:path>
              <a:moveTo>
                <a:pt x="0" y="0"/>
              </a:moveTo>
              <a:lnTo>
                <a:pt x="0" y="1923875"/>
              </a:lnTo>
              <a:lnTo>
                <a:pt x="107450" y="1923875"/>
              </a:lnTo>
            </a:path>
          </a:pathLst>
        </a:custGeom>
        <a:noFill/>
        <a:ln w="12700" cap="flat" cmpd="sng" algn="ctr">
          <a:solidFill>
            <a:srgbClr val="4472C4">
              <a:shade val="80000"/>
              <a:hueOff val="0"/>
              <a:satOff val="0"/>
              <a:lumOff val="0"/>
              <a:alphaOff val="0"/>
            </a:srgbClr>
          </a:solidFill>
          <a:prstDash val="solid"/>
          <a:miter lim="800000"/>
        </a:ln>
        <a:effectLst/>
      </dgm:spPr>
    </dgm:pt>
    <dgm:pt modelId="{DA791D3F-07EF-44F5-8936-F4A1AE3AF283}" type="sibTrans" cxnId="{35757678-B889-4492-A7A2-A7B0223DBEB8}">
      <dgm:prSet/>
      <dgm:spPr/>
    </dgm:pt>
    <dgm:pt modelId="{B2EC07B4-00BB-4F88-B4EC-B1847BF49D29}">
      <dgm:prSet/>
      <dgm:spPr>
        <a:xfrm>
          <a:off x="5490652" y="363450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altLang="ja-JP" b="0" i="0" u="none" strike="noStrike" baseline="0">
              <a:solidFill>
                <a:sysClr val="window" lastClr="FFFFFF"/>
              </a:solidFill>
              <a:latin typeface="Calibri" panose="020F0502020204030204" pitchFamily="34" charset="0"/>
              <a:ea typeface="Yu Mincho" panose="02020400000000000000" pitchFamily="18" charset="-128"/>
              <a:cs typeface="+mn-cs"/>
            </a:rPr>
            <a:t>Estates Obligations</a:t>
          </a:r>
          <a:endParaRPr lang="en-GB">
            <a:solidFill>
              <a:sysClr val="window" lastClr="FFFFFF"/>
            </a:solidFill>
            <a:latin typeface="Calibri" panose="020F0502020204030204"/>
            <a:ea typeface="+mn-ea"/>
            <a:cs typeface="+mn-cs"/>
          </a:endParaRPr>
        </a:p>
      </dgm:t>
    </dgm:pt>
    <dgm:pt modelId="{E0E5E3EB-CCE8-49D8-90E1-369490608024}" type="parTrans" cxnId="{43D175F3-73E9-41C4-B292-8AE74E388216}">
      <dgm:prSet/>
      <dgm:spPr>
        <a:xfrm>
          <a:off x="6513990" y="1239889"/>
          <a:ext cx="107450" cy="2650445"/>
        </a:xfrm>
        <a:custGeom>
          <a:avLst/>
          <a:gdLst/>
          <a:ahLst/>
          <a:cxnLst/>
          <a:rect l="0" t="0" r="0" b="0"/>
          <a:pathLst>
            <a:path>
              <a:moveTo>
                <a:pt x="107450" y="0"/>
              </a:moveTo>
              <a:lnTo>
                <a:pt x="107450" y="2650445"/>
              </a:lnTo>
              <a:lnTo>
                <a:pt x="0" y="2650445"/>
              </a:lnTo>
            </a:path>
          </a:pathLst>
        </a:custGeom>
        <a:noFill/>
        <a:ln w="12700" cap="flat" cmpd="sng" algn="ctr">
          <a:solidFill>
            <a:srgbClr val="4472C4">
              <a:shade val="80000"/>
              <a:hueOff val="0"/>
              <a:satOff val="0"/>
              <a:lumOff val="0"/>
              <a:alphaOff val="0"/>
            </a:srgbClr>
          </a:solidFill>
          <a:prstDash val="solid"/>
          <a:miter lim="800000"/>
        </a:ln>
        <a:effectLst/>
      </dgm:spPr>
    </dgm:pt>
    <dgm:pt modelId="{3E5FF21C-E5C6-46E4-B645-180DD51A2419}" type="sibTrans" cxnId="{43D175F3-73E9-41C4-B292-8AE74E388216}">
      <dgm:prSet/>
      <dgm:spPr/>
    </dgm:pt>
    <dgm:pt modelId="{35C3AB56-6CB9-4B2F-B134-14BA19156A13}" type="pres">
      <dgm:prSet presAssocID="{C922F156-85BB-41D6-9571-BCD14FCF4DA3}" presName="hierChild1" presStyleCnt="0">
        <dgm:presLayoutVars>
          <dgm:orgChart val="1"/>
          <dgm:chPref val="1"/>
          <dgm:dir/>
          <dgm:animOne val="branch"/>
          <dgm:animLvl val="lvl"/>
          <dgm:resizeHandles/>
        </dgm:presLayoutVars>
      </dgm:prSet>
      <dgm:spPr/>
    </dgm:pt>
    <dgm:pt modelId="{B6AAB4B1-B22B-4F38-B6DC-05A95E4C3F64}" type="pres">
      <dgm:prSet presAssocID="{64C9B94C-CE29-491E-B3D5-A32F229B7DF1}" presName="hierRoot1" presStyleCnt="0">
        <dgm:presLayoutVars>
          <dgm:hierBranch/>
        </dgm:presLayoutVars>
      </dgm:prSet>
      <dgm:spPr/>
    </dgm:pt>
    <dgm:pt modelId="{91B5581B-DC61-4098-B430-9C77E1D8CECA}" type="pres">
      <dgm:prSet presAssocID="{64C9B94C-CE29-491E-B3D5-A32F229B7DF1}" presName="rootComposite1" presStyleCnt="0"/>
      <dgm:spPr/>
    </dgm:pt>
    <dgm:pt modelId="{5F3CF448-95D5-4D79-AC8C-577426551066}" type="pres">
      <dgm:prSet presAssocID="{64C9B94C-CE29-491E-B3D5-A32F229B7DF1}" presName="rootText1" presStyleLbl="node0" presStyleIdx="0" presStyleCnt="1">
        <dgm:presLayoutVars>
          <dgm:chPref val="3"/>
        </dgm:presLayoutVars>
      </dgm:prSet>
      <dgm:spPr/>
    </dgm:pt>
    <dgm:pt modelId="{05F340A2-CF6E-4ACA-90D0-24D6CFC7DD10}" type="pres">
      <dgm:prSet presAssocID="{64C9B94C-CE29-491E-B3D5-A32F229B7DF1}" presName="rootConnector1" presStyleLbl="node1" presStyleIdx="0" presStyleCnt="0"/>
      <dgm:spPr/>
    </dgm:pt>
    <dgm:pt modelId="{C42A5D25-1B37-4E56-9A77-A60CD970D31D}" type="pres">
      <dgm:prSet presAssocID="{64C9B94C-CE29-491E-B3D5-A32F229B7DF1}" presName="hierChild2" presStyleCnt="0"/>
      <dgm:spPr/>
    </dgm:pt>
    <dgm:pt modelId="{C1C95C2E-7C8C-41AB-BD30-96B9BB2F87E1}" type="pres">
      <dgm:prSet presAssocID="{DBAEE6DB-138B-491E-BFDA-6DEAD70C8367}" presName="Name35" presStyleLbl="parChTrans1D2" presStyleIdx="0" presStyleCnt="3"/>
      <dgm:spPr/>
    </dgm:pt>
    <dgm:pt modelId="{402420D3-F9BF-4251-A65D-834B1571798F}" type="pres">
      <dgm:prSet presAssocID="{C8C502C9-61D5-4D0E-BB12-1FEE052B5DF0}" presName="hierRoot2" presStyleCnt="0">
        <dgm:presLayoutVars>
          <dgm:hierBranch val="hang"/>
        </dgm:presLayoutVars>
      </dgm:prSet>
      <dgm:spPr/>
    </dgm:pt>
    <dgm:pt modelId="{1D847371-BE8E-4C76-AC14-A7A6417AB0DA}" type="pres">
      <dgm:prSet presAssocID="{C8C502C9-61D5-4D0E-BB12-1FEE052B5DF0}" presName="rootComposite" presStyleCnt="0"/>
      <dgm:spPr/>
    </dgm:pt>
    <dgm:pt modelId="{86BAFBAA-C63F-4DD9-A426-237F70160FD4}" type="pres">
      <dgm:prSet presAssocID="{C8C502C9-61D5-4D0E-BB12-1FEE052B5DF0}" presName="rootText" presStyleLbl="node2" presStyleIdx="0" presStyleCnt="3">
        <dgm:presLayoutVars>
          <dgm:chPref val="3"/>
        </dgm:presLayoutVars>
      </dgm:prSet>
      <dgm:spPr/>
    </dgm:pt>
    <dgm:pt modelId="{3B180211-D052-4F93-B52D-E6F6ED41DB0C}" type="pres">
      <dgm:prSet presAssocID="{C8C502C9-61D5-4D0E-BB12-1FEE052B5DF0}" presName="rootConnector" presStyleLbl="node2" presStyleIdx="0" presStyleCnt="3"/>
      <dgm:spPr/>
    </dgm:pt>
    <dgm:pt modelId="{1EB77B08-2951-41BD-BA46-089E85C56D43}" type="pres">
      <dgm:prSet presAssocID="{C8C502C9-61D5-4D0E-BB12-1FEE052B5DF0}" presName="hierChild4" presStyleCnt="0"/>
      <dgm:spPr/>
    </dgm:pt>
    <dgm:pt modelId="{8FE36392-4E49-4F79-9F72-B2AC552F4EC3}" type="pres">
      <dgm:prSet presAssocID="{25F9AFD2-A9BC-4045-BB62-1DB6BC85FC75}" presName="Name48" presStyleLbl="parChTrans1D3" presStyleIdx="0" presStyleCnt="15"/>
      <dgm:spPr/>
    </dgm:pt>
    <dgm:pt modelId="{A2A59B90-B6BC-4C7D-A7A2-8639F5CEAF7E}" type="pres">
      <dgm:prSet presAssocID="{2740DE22-F354-48B6-9B35-C7BAF93A22E4}" presName="hierRoot2" presStyleCnt="0">
        <dgm:presLayoutVars>
          <dgm:hierBranch val="r"/>
        </dgm:presLayoutVars>
      </dgm:prSet>
      <dgm:spPr/>
    </dgm:pt>
    <dgm:pt modelId="{CA8C628D-57B3-48F1-A827-5181B577264F}" type="pres">
      <dgm:prSet presAssocID="{2740DE22-F354-48B6-9B35-C7BAF93A22E4}" presName="rootComposite" presStyleCnt="0"/>
      <dgm:spPr/>
    </dgm:pt>
    <dgm:pt modelId="{72D5AC26-0082-4E8E-AB89-A5A6B1734B39}" type="pres">
      <dgm:prSet presAssocID="{2740DE22-F354-48B6-9B35-C7BAF93A22E4}" presName="rootText" presStyleLbl="node3" presStyleIdx="0" presStyleCnt="15">
        <dgm:presLayoutVars>
          <dgm:chPref val="3"/>
        </dgm:presLayoutVars>
      </dgm:prSet>
      <dgm:spPr/>
    </dgm:pt>
    <dgm:pt modelId="{327B4C13-5650-449A-BEC5-E9A84B635C7F}" type="pres">
      <dgm:prSet presAssocID="{2740DE22-F354-48B6-9B35-C7BAF93A22E4}" presName="rootConnector" presStyleLbl="node3" presStyleIdx="0" presStyleCnt="15"/>
      <dgm:spPr/>
    </dgm:pt>
    <dgm:pt modelId="{EAA046C9-EFCB-41A8-B232-B230E7F6260E}" type="pres">
      <dgm:prSet presAssocID="{2740DE22-F354-48B6-9B35-C7BAF93A22E4}" presName="hierChild4" presStyleCnt="0"/>
      <dgm:spPr/>
    </dgm:pt>
    <dgm:pt modelId="{4320AFC9-599F-4BA8-A26B-8206C0373766}" type="pres">
      <dgm:prSet presAssocID="{2740DE22-F354-48B6-9B35-C7BAF93A22E4}" presName="hierChild5" presStyleCnt="0"/>
      <dgm:spPr/>
    </dgm:pt>
    <dgm:pt modelId="{74D76FAE-CCF3-4583-9362-300A7869362F}" type="pres">
      <dgm:prSet presAssocID="{E9E2CF7B-87DA-48AA-A08A-FB90E69CE879}" presName="Name48" presStyleLbl="parChTrans1D3" presStyleIdx="1" presStyleCnt="15"/>
      <dgm:spPr/>
    </dgm:pt>
    <dgm:pt modelId="{305D0300-27A2-488F-8340-829E563D0E68}" type="pres">
      <dgm:prSet presAssocID="{E3CCFFA0-869C-4918-84D3-14F4685B2561}" presName="hierRoot2" presStyleCnt="0">
        <dgm:presLayoutVars>
          <dgm:hierBranch val="r"/>
        </dgm:presLayoutVars>
      </dgm:prSet>
      <dgm:spPr/>
    </dgm:pt>
    <dgm:pt modelId="{405D4B4D-774A-410C-88C9-E62C22109689}" type="pres">
      <dgm:prSet presAssocID="{E3CCFFA0-869C-4918-84D3-14F4685B2561}" presName="rootComposite" presStyleCnt="0"/>
      <dgm:spPr/>
    </dgm:pt>
    <dgm:pt modelId="{A6874410-B024-4D69-9538-49330081A7E5}" type="pres">
      <dgm:prSet presAssocID="{E3CCFFA0-869C-4918-84D3-14F4685B2561}" presName="rootText" presStyleLbl="node3" presStyleIdx="1" presStyleCnt="15">
        <dgm:presLayoutVars>
          <dgm:chPref val="3"/>
        </dgm:presLayoutVars>
      </dgm:prSet>
      <dgm:spPr/>
    </dgm:pt>
    <dgm:pt modelId="{38245FC9-FF56-470B-87E3-930FFE325BF9}" type="pres">
      <dgm:prSet presAssocID="{E3CCFFA0-869C-4918-84D3-14F4685B2561}" presName="rootConnector" presStyleLbl="node3" presStyleIdx="1" presStyleCnt="15"/>
      <dgm:spPr/>
    </dgm:pt>
    <dgm:pt modelId="{4A1AB3A7-AE6F-452D-B105-E8EE5B051286}" type="pres">
      <dgm:prSet presAssocID="{E3CCFFA0-869C-4918-84D3-14F4685B2561}" presName="hierChild4" presStyleCnt="0"/>
      <dgm:spPr/>
    </dgm:pt>
    <dgm:pt modelId="{7CBF59E0-1ECA-431F-B38A-E989A099D469}" type="pres">
      <dgm:prSet presAssocID="{E3CCFFA0-869C-4918-84D3-14F4685B2561}" presName="hierChild5" presStyleCnt="0"/>
      <dgm:spPr/>
    </dgm:pt>
    <dgm:pt modelId="{94377C55-995D-432D-BFA1-D1DC1C749252}" type="pres">
      <dgm:prSet presAssocID="{B2E61F45-F9BC-4D83-9289-717C8FFD8248}" presName="Name48" presStyleLbl="parChTrans1D3" presStyleIdx="2" presStyleCnt="15"/>
      <dgm:spPr/>
    </dgm:pt>
    <dgm:pt modelId="{AF4C4C6D-F363-4604-A003-5A9161BC1428}" type="pres">
      <dgm:prSet presAssocID="{7E2613F5-6BCB-4969-B2AE-4A82606AEA06}" presName="hierRoot2" presStyleCnt="0">
        <dgm:presLayoutVars>
          <dgm:hierBranch val="r"/>
        </dgm:presLayoutVars>
      </dgm:prSet>
      <dgm:spPr/>
    </dgm:pt>
    <dgm:pt modelId="{89FB89BB-1284-4989-879E-481B8DADC969}" type="pres">
      <dgm:prSet presAssocID="{7E2613F5-6BCB-4969-B2AE-4A82606AEA06}" presName="rootComposite" presStyleCnt="0"/>
      <dgm:spPr/>
    </dgm:pt>
    <dgm:pt modelId="{EAB2F8B3-36A7-4CFD-85C5-4BED273567DC}" type="pres">
      <dgm:prSet presAssocID="{7E2613F5-6BCB-4969-B2AE-4A82606AEA06}" presName="rootText" presStyleLbl="node3" presStyleIdx="2" presStyleCnt="15">
        <dgm:presLayoutVars>
          <dgm:chPref val="3"/>
        </dgm:presLayoutVars>
      </dgm:prSet>
      <dgm:spPr/>
    </dgm:pt>
    <dgm:pt modelId="{37A5440A-147F-4369-B4A1-3E9312F4889C}" type="pres">
      <dgm:prSet presAssocID="{7E2613F5-6BCB-4969-B2AE-4A82606AEA06}" presName="rootConnector" presStyleLbl="node3" presStyleIdx="2" presStyleCnt="15"/>
      <dgm:spPr/>
    </dgm:pt>
    <dgm:pt modelId="{3BAF01AB-DBD2-4951-BB0A-25F4339B58B1}" type="pres">
      <dgm:prSet presAssocID="{7E2613F5-6BCB-4969-B2AE-4A82606AEA06}" presName="hierChild4" presStyleCnt="0"/>
      <dgm:spPr/>
    </dgm:pt>
    <dgm:pt modelId="{0A8403B1-9B14-4CC2-82EC-007162D793F5}" type="pres">
      <dgm:prSet presAssocID="{7E2613F5-6BCB-4969-B2AE-4A82606AEA06}" presName="hierChild5" presStyleCnt="0"/>
      <dgm:spPr/>
    </dgm:pt>
    <dgm:pt modelId="{59E725C9-B2DB-4D9C-A2B3-288D256C256F}" type="pres">
      <dgm:prSet presAssocID="{C8C502C9-61D5-4D0E-BB12-1FEE052B5DF0}" presName="hierChild5" presStyleCnt="0"/>
      <dgm:spPr/>
    </dgm:pt>
    <dgm:pt modelId="{6D50D97B-176F-4155-AC45-396503770B23}" type="pres">
      <dgm:prSet presAssocID="{1C7DE301-6903-4CC5-B772-CBDE3F021C48}" presName="Name35" presStyleLbl="parChTrans1D2" presStyleIdx="1" presStyleCnt="3"/>
      <dgm:spPr/>
    </dgm:pt>
    <dgm:pt modelId="{59892F7A-1435-47D6-98A1-DD42FD37C2B4}" type="pres">
      <dgm:prSet presAssocID="{50064438-B26E-46B2-9CC1-934497CEAD38}" presName="hierRoot2" presStyleCnt="0">
        <dgm:presLayoutVars>
          <dgm:hierBranch val="hang"/>
        </dgm:presLayoutVars>
      </dgm:prSet>
      <dgm:spPr/>
    </dgm:pt>
    <dgm:pt modelId="{31841C5F-3EB8-4C97-9B74-E2D6C285B781}" type="pres">
      <dgm:prSet presAssocID="{50064438-B26E-46B2-9CC1-934497CEAD38}" presName="rootComposite" presStyleCnt="0"/>
      <dgm:spPr/>
    </dgm:pt>
    <dgm:pt modelId="{F342FFC2-F371-47A5-8103-CDB061668A8F}" type="pres">
      <dgm:prSet presAssocID="{50064438-B26E-46B2-9CC1-934497CEAD38}" presName="rootText" presStyleLbl="node2" presStyleIdx="1" presStyleCnt="3">
        <dgm:presLayoutVars>
          <dgm:chPref val="3"/>
        </dgm:presLayoutVars>
      </dgm:prSet>
      <dgm:spPr/>
    </dgm:pt>
    <dgm:pt modelId="{0D68B1FF-742C-4452-8510-CC2CA64E3D98}" type="pres">
      <dgm:prSet presAssocID="{50064438-B26E-46B2-9CC1-934497CEAD38}" presName="rootConnector" presStyleLbl="node2" presStyleIdx="1" presStyleCnt="3"/>
      <dgm:spPr/>
    </dgm:pt>
    <dgm:pt modelId="{08E539FC-59C7-414C-A8F3-8E889EB1DDEC}" type="pres">
      <dgm:prSet presAssocID="{50064438-B26E-46B2-9CC1-934497CEAD38}" presName="hierChild4" presStyleCnt="0"/>
      <dgm:spPr/>
    </dgm:pt>
    <dgm:pt modelId="{CBCF045E-1EAD-46C4-9498-29A770D13FF2}" type="pres">
      <dgm:prSet presAssocID="{1ACF2EC0-B67C-4917-A457-D0FF5DC251E3}" presName="Name48" presStyleLbl="parChTrans1D3" presStyleIdx="3" presStyleCnt="15"/>
      <dgm:spPr/>
    </dgm:pt>
    <dgm:pt modelId="{272B954D-ABC0-4D48-842E-F06DFBDD0194}" type="pres">
      <dgm:prSet presAssocID="{453B025F-23A5-4564-96FC-6CFDC47F190E}" presName="hierRoot2" presStyleCnt="0">
        <dgm:presLayoutVars>
          <dgm:hierBranch val="r"/>
        </dgm:presLayoutVars>
      </dgm:prSet>
      <dgm:spPr/>
    </dgm:pt>
    <dgm:pt modelId="{9B4148E2-732F-42B6-9A87-E014CDD354C2}" type="pres">
      <dgm:prSet presAssocID="{453B025F-23A5-4564-96FC-6CFDC47F190E}" presName="rootComposite" presStyleCnt="0"/>
      <dgm:spPr/>
    </dgm:pt>
    <dgm:pt modelId="{7C6A2347-2505-4F19-8350-9A43AA290FAE}" type="pres">
      <dgm:prSet presAssocID="{453B025F-23A5-4564-96FC-6CFDC47F190E}" presName="rootText" presStyleLbl="node3" presStyleIdx="3" presStyleCnt="15">
        <dgm:presLayoutVars>
          <dgm:chPref val="3"/>
        </dgm:presLayoutVars>
      </dgm:prSet>
      <dgm:spPr/>
    </dgm:pt>
    <dgm:pt modelId="{12259367-F1AB-4B4E-ADFD-D6330FC03D95}" type="pres">
      <dgm:prSet presAssocID="{453B025F-23A5-4564-96FC-6CFDC47F190E}" presName="rootConnector" presStyleLbl="node3" presStyleIdx="3" presStyleCnt="15"/>
      <dgm:spPr/>
    </dgm:pt>
    <dgm:pt modelId="{4D6C76D8-495B-4C24-9596-2377331BF7B0}" type="pres">
      <dgm:prSet presAssocID="{453B025F-23A5-4564-96FC-6CFDC47F190E}" presName="hierChild4" presStyleCnt="0"/>
      <dgm:spPr/>
    </dgm:pt>
    <dgm:pt modelId="{9CC14401-CA88-4E79-9953-19CBA76F12D1}" type="pres">
      <dgm:prSet presAssocID="{453B025F-23A5-4564-96FC-6CFDC47F190E}" presName="hierChild5" presStyleCnt="0"/>
      <dgm:spPr/>
    </dgm:pt>
    <dgm:pt modelId="{21868F6A-7F05-422C-AAA0-B8EA82FFA102}" type="pres">
      <dgm:prSet presAssocID="{CD1459A4-9F71-44D8-97C3-9A7825EAD545}" presName="Name48" presStyleLbl="parChTrans1D3" presStyleIdx="4" presStyleCnt="15"/>
      <dgm:spPr/>
    </dgm:pt>
    <dgm:pt modelId="{C97E9B76-989A-424B-9AEA-75222111EC58}" type="pres">
      <dgm:prSet presAssocID="{A5E5A4DC-FA55-489B-A577-A7968A61E762}" presName="hierRoot2" presStyleCnt="0">
        <dgm:presLayoutVars>
          <dgm:hierBranch val="r"/>
        </dgm:presLayoutVars>
      </dgm:prSet>
      <dgm:spPr/>
    </dgm:pt>
    <dgm:pt modelId="{A52F2029-E38E-472B-BECF-FC43A06B7D74}" type="pres">
      <dgm:prSet presAssocID="{A5E5A4DC-FA55-489B-A577-A7968A61E762}" presName="rootComposite" presStyleCnt="0"/>
      <dgm:spPr/>
    </dgm:pt>
    <dgm:pt modelId="{9FFE92B8-C234-4EFF-AF08-E9FA56058E25}" type="pres">
      <dgm:prSet presAssocID="{A5E5A4DC-FA55-489B-A577-A7968A61E762}" presName="rootText" presStyleLbl="node3" presStyleIdx="4" presStyleCnt="15">
        <dgm:presLayoutVars>
          <dgm:chPref val="3"/>
        </dgm:presLayoutVars>
      </dgm:prSet>
      <dgm:spPr/>
    </dgm:pt>
    <dgm:pt modelId="{32BF2AD3-89B4-4167-BB7B-A39F1528829C}" type="pres">
      <dgm:prSet presAssocID="{A5E5A4DC-FA55-489B-A577-A7968A61E762}" presName="rootConnector" presStyleLbl="node3" presStyleIdx="4" presStyleCnt="15"/>
      <dgm:spPr/>
    </dgm:pt>
    <dgm:pt modelId="{4EC097FB-A0EF-4FAC-9C2C-1660A90D544B}" type="pres">
      <dgm:prSet presAssocID="{A5E5A4DC-FA55-489B-A577-A7968A61E762}" presName="hierChild4" presStyleCnt="0"/>
      <dgm:spPr/>
    </dgm:pt>
    <dgm:pt modelId="{A39D31E8-6C30-422A-A573-A38D2050CD8B}" type="pres">
      <dgm:prSet presAssocID="{A5E5A4DC-FA55-489B-A577-A7968A61E762}" presName="hierChild5" presStyleCnt="0"/>
      <dgm:spPr/>
    </dgm:pt>
    <dgm:pt modelId="{B249DC3D-F088-40D1-9A39-88F0083D6083}" type="pres">
      <dgm:prSet presAssocID="{F4E9A719-490B-4A52-904A-7AD6CE2B6BBB}" presName="Name48" presStyleLbl="parChTrans1D3" presStyleIdx="5" presStyleCnt="15"/>
      <dgm:spPr/>
    </dgm:pt>
    <dgm:pt modelId="{0384941E-FCAE-4630-9706-243C629CA35F}" type="pres">
      <dgm:prSet presAssocID="{EDE4DB66-9380-46B9-9F15-B52DDD076B65}" presName="hierRoot2" presStyleCnt="0">
        <dgm:presLayoutVars>
          <dgm:hierBranch val="r"/>
        </dgm:presLayoutVars>
      </dgm:prSet>
      <dgm:spPr/>
    </dgm:pt>
    <dgm:pt modelId="{64F33B1A-C19C-43CB-8F5B-77ED0EAF4F7C}" type="pres">
      <dgm:prSet presAssocID="{EDE4DB66-9380-46B9-9F15-B52DDD076B65}" presName="rootComposite" presStyleCnt="0"/>
      <dgm:spPr/>
    </dgm:pt>
    <dgm:pt modelId="{DFC90921-972D-49AB-8070-DFBE72526D55}" type="pres">
      <dgm:prSet presAssocID="{EDE4DB66-9380-46B9-9F15-B52DDD076B65}" presName="rootText" presStyleLbl="node3" presStyleIdx="5" presStyleCnt="15">
        <dgm:presLayoutVars>
          <dgm:chPref val="3"/>
        </dgm:presLayoutVars>
      </dgm:prSet>
      <dgm:spPr/>
    </dgm:pt>
    <dgm:pt modelId="{FA65F4B9-371D-4BD4-97C7-C331F5095520}" type="pres">
      <dgm:prSet presAssocID="{EDE4DB66-9380-46B9-9F15-B52DDD076B65}" presName="rootConnector" presStyleLbl="node3" presStyleIdx="5" presStyleCnt="15"/>
      <dgm:spPr/>
    </dgm:pt>
    <dgm:pt modelId="{445D68C3-48AC-4AD3-8120-CE365566BF6A}" type="pres">
      <dgm:prSet presAssocID="{EDE4DB66-9380-46B9-9F15-B52DDD076B65}" presName="hierChild4" presStyleCnt="0"/>
      <dgm:spPr/>
    </dgm:pt>
    <dgm:pt modelId="{4AA49819-4AC5-4D53-AC80-67108735AA48}" type="pres">
      <dgm:prSet presAssocID="{EDE4DB66-9380-46B9-9F15-B52DDD076B65}" presName="hierChild5" presStyleCnt="0"/>
      <dgm:spPr/>
    </dgm:pt>
    <dgm:pt modelId="{B8E50172-12D8-4D78-A9A3-00BA7EAE1C59}" type="pres">
      <dgm:prSet presAssocID="{72DF1C4D-AD7D-4BF9-9B2C-1E8D03C7DA04}" presName="Name48" presStyleLbl="parChTrans1D3" presStyleIdx="6" presStyleCnt="15"/>
      <dgm:spPr/>
    </dgm:pt>
    <dgm:pt modelId="{98367153-0C2D-4178-BEBD-4AC28F4F5522}" type="pres">
      <dgm:prSet presAssocID="{42E45EC0-42ED-4766-B662-042558A5F848}" presName="hierRoot2" presStyleCnt="0">
        <dgm:presLayoutVars>
          <dgm:hierBranch val="r"/>
        </dgm:presLayoutVars>
      </dgm:prSet>
      <dgm:spPr/>
    </dgm:pt>
    <dgm:pt modelId="{38507A03-4FA9-437E-9BC1-3C629224F56E}" type="pres">
      <dgm:prSet presAssocID="{42E45EC0-42ED-4766-B662-042558A5F848}" presName="rootComposite" presStyleCnt="0"/>
      <dgm:spPr/>
    </dgm:pt>
    <dgm:pt modelId="{EFC648D2-CD1C-4B2D-98E5-ABF3DED1BDFE}" type="pres">
      <dgm:prSet presAssocID="{42E45EC0-42ED-4766-B662-042558A5F848}" presName="rootText" presStyleLbl="node3" presStyleIdx="6" presStyleCnt="15">
        <dgm:presLayoutVars>
          <dgm:chPref val="3"/>
        </dgm:presLayoutVars>
      </dgm:prSet>
      <dgm:spPr/>
    </dgm:pt>
    <dgm:pt modelId="{4BEFD702-E1A6-469D-86B7-AA299945D538}" type="pres">
      <dgm:prSet presAssocID="{42E45EC0-42ED-4766-B662-042558A5F848}" presName="rootConnector" presStyleLbl="node3" presStyleIdx="6" presStyleCnt="15"/>
      <dgm:spPr/>
    </dgm:pt>
    <dgm:pt modelId="{43D55E75-C37C-4414-9CC6-01E5DF6577D8}" type="pres">
      <dgm:prSet presAssocID="{42E45EC0-42ED-4766-B662-042558A5F848}" presName="hierChild4" presStyleCnt="0"/>
      <dgm:spPr/>
    </dgm:pt>
    <dgm:pt modelId="{F5C2DBA9-CA55-4787-95A1-C10DBA21ED40}" type="pres">
      <dgm:prSet presAssocID="{42E45EC0-42ED-4766-B662-042558A5F848}" presName="hierChild5" presStyleCnt="0"/>
      <dgm:spPr/>
    </dgm:pt>
    <dgm:pt modelId="{893D2CBC-3A22-49F6-BCC1-FDFA38B17677}" type="pres">
      <dgm:prSet presAssocID="{C305B2F4-AD8C-404F-9BA3-83362EC43E60}" presName="Name48" presStyleLbl="parChTrans1D3" presStyleIdx="7" presStyleCnt="15"/>
      <dgm:spPr/>
    </dgm:pt>
    <dgm:pt modelId="{FB263544-CC1D-4A3B-BCE0-B90EBFA6FE84}" type="pres">
      <dgm:prSet presAssocID="{90C8E1C4-A691-4465-A642-185B5BA5146B}" presName="hierRoot2" presStyleCnt="0">
        <dgm:presLayoutVars>
          <dgm:hierBranch val="r"/>
        </dgm:presLayoutVars>
      </dgm:prSet>
      <dgm:spPr/>
    </dgm:pt>
    <dgm:pt modelId="{A1D45B02-DBAE-4143-A078-68B5F2DCB67A}" type="pres">
      <dgm:prSet presAssocID="{90C8E1C4-A691-4465-A642-185B5BA5146B}" presName="rootComposite" presStyleCnt="0"/>
      <dgm:spPr/>
    </dgm:pt>
    <dgm:pt modelId="{5BD2E5C2-0AD5-4274-8CE4-160537C945D1}" type="pres">
      <dgm:prSet presAssocID="{90C8E1C4-A691-4465-A642-185B5BA5146B}" presName="rootText" presStyleLbl="node3" presStyleIdx="7" presStyleCnt="15">
        <dgm:presLayoutVars>
          <dgm:chPref val="3"/>
        </dgm:presLayoutVars>
      </dgm:prSet>
      <dgm:spPr/>
    </dgm:pt>
    <dgm:pt modelId="{1C88BEDF-A302-430B-A3BB-0F3F2D485664}" type="pres">
      <dgm:prSet presAssocID="{90C8E1C4-A691-4465-A642-185B5BA5146B}" presName="rootConnector" presStyleLbl="node3" presStyleIdx="7" presStyleCnt="15"/>
      <dgm:spPr/>
    </dgm:pt>
    <dgm:pt modelId="{4B08DBAD-0D17-4545-AC83-FE42F93F2609}" type="pres">
      <dgm:prSet presAssocID="{90C8E1C4-A691-4465-A642-185B5BA5146B}" presName="hierChild4" presStyleCnt="0"/>
      <dgm:spPr/>
    </dgm:pt>
    <dgm:pt modelId="{9B67CBA3-41C1-4FDD-B556-AAD4D4529B2F}" type="pres">
      <dgm:prSet presAssocID="{90C8E1C4-A691-4465-A642-185B5BA5146B}" presName="hierChild5" presStyleCnt="0"/>
      <dgm:spPr/>
    </dgm:pt>
    <dgm:pt modelId="{EF3D1C76-70AE-4B53-BB14-3D41DC161CAB}" type="pres">
      <dgm:prSet presAssocID="{50064438-B26E-46B2-9CC1-934497CEAD38}" presName="hierChild5" presStyleCnt="0"/>
      <dgm:spPr/>
    </dgm:pt>
    <dgm:pt modelId="{9CF917B8-5AC1-4757-A4A1-DBB93A3E9FD4}" type="pres">
      <dgm:prSet presAssocID="{3C8EFAEB-673A-48B3-BEEB-D3E022C02F08}" presName="Name35" presStyleLbl="parChTrans1D2" presStyleIdx="2" presStyleCnt="3"/>
      <dgm:spPr/>
    </dgm:pt>
    <dgm:pt modelId="{897C57AA-B51A-4CC5-B217-7441527E6541}" type="pres">
      <dgm:prSet presAssocID="{64EE1B9E-2FBF-4B8C-ADE4-9A17ACEA8AB0}" presName="hierRoot2" presStyleCnt="0">
        <dgm:presLayoutVars>
          <dgm:hierBranch val="hang"/>
        </dgm:presLayoutVars>
      </dgm:prSet>
      <dgm:spPr/>
    </dgm:pt>
    <dgm:pt modelId="{EEAB5126-8DCF-4C24-ADA7-DB66D96F0815}" type="pres">
      <dgm:prSet presAssocID="{64EE1B9E-2FBF-4B8C-ADE4-9A17ACEA8AB0}" presName="rootComposite" presStyleCnt="0"/>
      <dgm:spPr/>
    </dgm:pt>
    <dgm:pt modelId="{110D6C80-F22F-4C8F-925D-C49321B21C0F}" type="pres">
      <dgm:prSet presAssocID="{64EE1B9E-2FBF-4B8C-ADE4-9A17ACEA8AB0}" presName="rootText" presStyleLbl="node2" presStyleIdx="2" presStyleCnt="3">
        <dgm:presLayoutVars>
          <dgm:chPref val="3"/>
        </dgm:presLayoutVars>
      </dgm:prSet>
      <dgm:spPr/>
    </dgm:pt>
    <dgm:pt modelId="{01225131-3092-49EE-A787-F45BCEDC7F80}" type="pres">
      <dgm:prSet presAssocID="{64EE1B9E-2FBF-4B8C-ADE4-9A17ACEA8AB0}" presName="rootConnector" presStyleLbl="node2" presStyleIdx="2" presStyleCnt="3"/>
      <dgm:spPr/>
    </dgm:pt>
    <dgm:pt modelId="{ACF57DDB-6035-411D-8614-D638AE9BC6CD}" type="pres">
      <dgm:prSet presAssocID="{64EE1B9E-2FBF-4B8C-ADE4-9A17ACEA8AB0}" presName="hierChild4" presStyleCnt="0"/>
      <dgm:spPr/>
    </dgm:pt>
    <dgm:pt modelId="{1C9E5F7E-5B78-4D19-ABDB-1C4686E4009C}" type="pres">
      <dgm:prSet presAssocID="{E507132D-2354-4E0A-8355-5BB1A2C586E2}" presName="Name48" presStyleLbl="parChTrans1D3" presStyleIdx="8" presStyleCnt="15"/>
      <dgm:spPr/>
    </dgm:pt>
    <dgm:pt modelId="{2BA10DB4-A9EC-46D1-9687-713ADEB14255}" type="pres">
      <dgm:prSet presAssocID="{1F71E093-DAD0-4B6B-9522-6CA27B3BE16F}" presName="hierRoot2" presStyleCnt="0">
        <dgm:presLayoutVars>
          <dgm:hierBranch val="r"/>
        </dgm:presLayoutVars>
      </dgm:prSet>
      <dgm:spPr/>
    </dgm:pt>
    <dgm:pt modelId="{38A898D6-1901-491D-B245-AFF007EE15C9}" type="pres">
      <dgm:prSet presAssocID="{1F71E093-DAD0-4B6B-9522-6CA27B3BE16F}" presName="rootComposite" presStyleCnt="0"/>
      <dgm:spPr/>
    </dgm:pt>
    <dgm:pt modelId="{A72E9433-397F-4626-81ED-EB4B6DD59303}" type="pres">
      <dgm:prSet presAssocID="{1F71E093-DAD0-4B6B-9522-6CA27B3BE16F}" presName="rootText" presStyleLbl="node3" presStyleIdx="8" presStyleCnt="15">
        <dgm:presLayoutVars>
          <dgm:chPref val="3"/>
        </dgm:presLayoutVars>
      </dgm:prSet>
      <dgm:spPr/>
    </dgm:pt>
    <dgm:pt modelId="{997069C9-B091-4EBF-86F9-29337630F856}" type="pres">
      <dgm:prSet presAssocID="{1F71E093-DAD0-4B6B-9522-6CA27B3BE16F}" presName="rootConnector" presStyleLbl="node3" presStyleIdx="8" presStyleCnt="15"/>
      <dgm:spPr/>
    </dgm:pt>
    <dgm:pt modelId="{8F8F9F9D-02CD-4DF9-91D7-8F7C6E4613A9}" type="pres">
      <dgm:prSet presAssocID="{1F71E093-DAD0-4B6B-9522-6CA27B3BE16F}" presName="hierChild4" presStyleCnt="0"/>
      <dgm:spPr/>
    </dgm:pt>
    <dgm:pt modelId="{33995AB4-8C0C-417F-A0AE-501D791A6419}" type="pres">
      <dgm:prSet presAssocID="{1F71E093-DAD0-4B6B-9522-6CA27B3BE16F}" presName="hierChild5" presStyleCnt="0"/>
      <dgm:spPr/>
    </dgm:pt>
    <dgm:pt modelId="{9F5A593D-B155-456B-B526-61EE4C6B878A}" type="pres">
      <dgm:prSet presAssocID="{E7BFA328-428B-423A-9EE0-FE625BDDB9DB}" presName="Name48" presStyleLbl="parChTrans1D3" presStyleIdx="9" presStyleCnt="15"/>
      <dgm:spPr/>
    </dgm:pt>
    <dgm:pt modelId="{5F73857B-9122-4787-B00B-B524498DB8ED}" type="pres">
      <dgm:prSet presAssocID="{F4608112-4E9D-4612-99F4-7F06C656F7CF}" presName="hierRoot2" presStyleCnt="0">
        <dgm:presLayoutVars>
          <dgm:hierBranch val="r"/>
        </dgm:presLayoutVars>
      </dgm:prSet>
      <dgm:spPr/>
    </dgm:pt>
    <dgm:pt modelId="{75B1830B-1DC1-426B-84B0-554BD82CA921}" type="pres">
      <dgm:prSet presAssocID="{F4608112-4E9D-4612-99F4-7F06C656F7CF}" presName="rootComposite" presStyleCnt="0"/>
      <dgm:spPr/>
    </dgm:pt>
    <dgm:pt modelId="{BBD7AB97-C2B8-4E43-8F05-8D747B2098AE}" type="pres">
      <dgm:prSet presAssocID="{F4608112-4E9D-4612-99F4-7F06C656F7CF}" presName="rootText" presStyleLbl="node3" presStyleIdx="9" presStyleCnt="15">
        <dgm:presLayoutVars>
          <dgm:chPref val="3"/>
        </dgm:presLayoutVars>
      </dgm:prSet>
      <dgm:spPr/>
    </dgm:pt>
    <dgm:pt modelId="{9DEE79EC-3900-4631-B60A-6D5C3B31C9BD}" type="pres">
      <dgm:prSet presAssocID="{F4608112-4E9D-4612-99F4-7F06C656F7CF}" presName="rootConnector" presStyleLbl="node3" presStyleIdx="9" presStyleCnt="15"/>
      <dgm:spPr/>
    </dgm:pt>
    <dgm:pt modelId="{2E56CA76-5CD9-4207-BFA7-FEBEAE88886F}" type="pres">
      <dgm:prSet presAssocID="{F4608112-4E9D-4612-99F4-7F06C656F7CF}" presName="hierChild4" presStyleCnt="0"/>
      <dgm:spPr/>
    </dgm:pt>
    <dgm:pt modelId="{06312F46-02C5-4FA8-9DB2-C46DEDC23577}" type="pres">
      <dgm:prSet presAssocID="{F4608112-4E9D-4612-99F4-7F06C656F7CF}" presName="hierChild5" presStyleCnt="0"/>
      <dgm:spPr/>
    </dgm:pt>
    <dgm:pt modelId="{84B4AC10-EC5E-41C0-8E39-AF65CCFDE4F9}" type="pres">
      <dgm:prSet presAssocID="{D2E3BAC1-E6B7-41E4-B19B-A7FDFBC71419}" presName="Name48" presStyleLbl="parChTrans1D3" presStyleIdx="10" presStyleCnt="15"/>
      <dgm:spPr/>
    </dgm:pt>
    <dgm:pt modelId="{A84A9D45-4261-4DE7-8BB3-8F7B1B19FBCB}" type="pres">
      <dgm:prSet presAssocID="{DE57D53F-830D-48A7-8F28-6A0B17B9E89B}" presName="hierRoot2" presStyleCnt="0">
        <dgm:presLayoutVars>
          <dgm:hierBranch val="r"/>
        </dgm:presLayoutVars>
      </dgm:prSet>
      <dgm:spPr/>
    </dgm:pt>
    <dgm:pt modelId="{885223CB-20CA-41CE-B844-F74F144A6F8A}" type="pres">
      <dgm:prSet presAssocID="{DE57D53F-830D-48A7-8F28-6A0B17B9E89B}" presName="rootComposite" presStyleCnt="0"/>
      <dgm:spPr/>
    </dgm:pt>
    <dgm:pt modelId="{6713B7F8-D640-4C1F-824D-06AD463F5A82}" type="pres">
      <dgm:prSet presAssocID="{DE57D53F-830D-48A7-8F28-6A0B17B9E89B}" presName="rootText" presStyleLbl="node3" presStyleIdx="10" presStyleCnt="15">
        <dgm:presLayoutVars>
          <dgm:chPref val="3"/>
        </dgm:presLayoutVars>
      </dgm:prSet>
      <dgm:spPr/>
    </dgm:pt>
    <dgm:pt modelId="{CA20F791-035E-4799-9609-5731B779B92D}" type="pres">
      <dgm:prSet presAssocID="{DE57D53F-830D-48A7-8F28-6A0B17B9E89B}" presName="rootConnector" presStyleLbl="node3" presStyleIdx="10" presStyleCnt="15"/>
      <dgm:spPr/>
    </dgm:pt>
    <dgm:pt modelId="{D4AE0951-247F-4D3D-92ED-F5B6A2FEEC87}" type="pres">
      <dgm:prSet presAssocID="{DE57D53F-830D-48A7-8F28-6A0B17B9E89B}" presName="hierChild4" presStyleCnt="0"/>
      <dgm:spPr/>
    </dgm:pt>
    <dgm:pt modelId="{029564D8-1A69-4BBF-A71F-EE4135215F91}" type="pres">
      <dgm:prSet presAssocID="{DE57D53F-830D-48A7-8F28-6A0B17B9E89B}" presName="hierChild5" presStyleCnt="0"/>
      <dgm:spPr/>
    </dgm:pt>
    <dgm:pt modelId="{2490ACB9-FE2B-4D8B-8B89-9573E0ACF029}" type="pres">
      <dgm:prSet presAssocID="{8161CED9-56D9-458A-840A-F38B3EB8D87E}" presName="Name48" presStyleLbl="parChTrans1D3" presStyleIdx="11" presStyleCnt="15"/>
      <dgm:spPr/>
    </dgm:pt>
    <dgm:pt modelId="{04D04F55-D61C-4874-A09F-1D15B9C0966A}" type="pres">
      <dgm:prSet presAssocID="{A1182017-3BB5-49AA-AE04-3B69AC745703}" presName="hierRoot2" presStyleCnt="0">
        <dgm:presLayoutVars>
          <dgm:hierBranch val="r"/>
        </dgm:presLayoutVars>
      </dgm:prSet>
      <dgm:spPr/>
    </dgm:pt>
    <dgm:pt modelId="{F1E2F2EA-392C-449D-BA74-4E4C4017A054}" type="pres">
      <dgm:prSet presAssocID="{A1182017-3BB5-49AA-AE04-3B69AC745703}" presName="rootComposite" presStyleCnt="0"/>
      <dgm:spPr/>
    </dgm:pt>
    <dgm:pt modelId="{FBE1CD44-1476-4DCA-9852-1D3F3D3EEAF8}" type="pres">
      <dgm:prSet presAssocID="{A1182017-3BB5-49AA-AE04-3B69AC745703}" presName="rootText" presStyleLbl="node3" presStyleIdx="11" presStyleCnt="15">
        <dgm:presLayoutVars>
          <dgm:chPref val="3"/>
        </dgm:presLayoutVars>
      </dgm:prSet>
      <dgm:spPr/>
    </dgm:pt>
    <dgm:pt modelId="{E680A272-47D5-4A33-B04B-444D01DD6D63}" type="pres">
      <dgm:prSet presAssocID="{A1182017-3BB5-49AA-AE04-3B69AC745703}" presName="rootConnector" presStyleLbl="node3" presStyleIdx="11" presStyleCnt="15"/>
      <dgm:spPr/>
    </dgm:pt>
    <dgm:pt modelId="{FC220C79-C826-4823-BBD6-A46D8C1E2099}" type="pres">
      <dgm:prSet presAssocID="{A1182017-3BB5-49AA-AE04-3B69AC745703}" presName="hierChild4" presStyleCnt="0"/>
      <dgm:spPr/>
    </dgm:pt>
    <dgm:pt modelId="{5044086D-95CD-449D-8DCC-4947B5FB26F2}" type="pres">
      <dgm:prSet presAssocID="{A1182017-3BB5-49AA-AE04-3B69AC745703}" presName="hierChild5" presStyleCnt="0"/>
      <dgm:spPr/>
    </dgm:pt>
    <dgm:pt modelId="{C547368A-8A16-4C28-AF0C-945FC074320D}" type="pres">
      <dgm:prSet presAssocID="{9D5B83A2-8622-4BCC-AEA4-BDDA812495D4}" presName="Name48" presStyleLbl="parChTrans1D3" presStyleIdx="12" presStyleCnt="15"/>
      <dgm:spPr/>
    </dgm:pt>
    <dgm:pt modelId="{BFB872EE-9942-422C-B7BE-1D8029193900}" type="pres">
      <dgm:prSet presAssocID="{13B86B6F-FF7D-43A4-A1E6-CE1507A9A9D1}" presName="hierRoot2" presStyleCnt="0">
        <dgm:presLayoutVars>
          <dgm:hierBranch val="r"/>
        </dgm:presLayoutVars>
      </dgm:prSet>
      <dgm:spPr/>
    </dgm:pt>
    <dgm:pt modelId="{E76E7C8C-CC7F-414C-8F68-3CBB5C87243E}" type="pres">
      <dgm:prSet presAssocID="{13B86B6F-FF7D-43A4-A1E6-CE1507A9A9D1}" presName="rootComposite" presStyleCnt="0"/>
      <dgm:spPr/>
    </dgm:pt>
    <dgm:pt modelId="{C7807037-965F-4BEB-A98A-80017D0E22B4}" type="pres">
      <dgm:prSet presAssocID="{13B86B6F-FF7D-43A4-A1E6-CE1507A9A9D1}" presName="rootText" presStyleLbl="node3" presStyleIdx="12" presStyleCnt="15">
        <dgm:presLayoutVars>
          <dgm:chPref val="3"/>
        </dgm:presLayoutVars>
      </dgm:prSet>
      <dgm:spPr/>
    </dgm:pt>
    <dgm:pt modelId="{C0E21446-E311-4DB4-ACFE-35B1F2802A83}" type="pres">
      <dgm:prSet presAssocID="{13B86B6F-FF7D-43A4-A1E6-CE1507A9A9D1}" presName="rootConnector" presStyleLbl="node3" presStyleIdx="12" presStyleCnt="15"/>
      <dgm:spPr/>
    </dgm:pt>
    <dgm:pt modelId="{9BAADD4C-D5F1-4793-9C17-6B5C91EBBD2A}" type="pres">
      <dgm:prSet presAssocID="{13B86B6F-FF7D-43A4-A1E6-CE1507A9A9D1}" presName="hierChild4" presStyleCnt="0"/>
      <dgm:spPr/>
    </dgm:pt>
    <dgm:pt modelId="{55129D6A-3FAA-4634-899F-258138A0F42A}" type="pres">
      <dgm:prSet presAssocID="{13B86B6F-FF7D-43A4-A1E6-CE1507A9A9D1}" presName="hierChild5" presStyleCnt="0"/>
      <dgm:spPr/>
    </dgm:pt>
    <dgm:pt modelId="{53641377-50E9-41AF-B3B7-328461593624}" type="pres">
      <dgm:prSet presAssocID="{D3B7B667-5D8F-4950-87B9-440B2B8A0802}" presName="Name48" presStyleLbl="parChTrans1D3" presStyleIdx="13" presStyleCnt="15"/>
      <dgm:spPr/>
    </dgm:pt>
    <dgm:pt modelId="{BA37548F-759E-4A27-BC9F-0A11E80BAAEB}" type="pres">
      <dgm:prSet presAssocID="{763B49F3-3985-4E9C-B77C-F9A7ED6C2D28}" presName="hierRoot2" presStyleCnt="0">
        <dgm:presLayoutVars>
          <dgm:hierBranch val="r"/>
        </dgm:presLayoutVars>
      </dgm:prSet>
      <dgm:spPr/>
    </dgm:pt>
    <dgm:pt modelId="{B43770CB-FCDF-4AC0-AF85-084B17F9DC8C}" type="pres">
      <dgm:prSet presAssocID="{763B49F3-3985-4E9C-B77C-F9A7ED6C2D28}" presName="rootComposite" presStyleCnt="0"/>
      <dgm:spPr/>
    </dgm:pt>
    <dgm:pt modelId="{7E42CC19-9267-47C1-9D6D-1562521E402C}" type="pres">
      <dgm:prSet presAssocID="{763B49F3-3985-4E9C-B77C-F9A7ED6C2D28}" presName="rootText" presStyleLbl="node3" presStyleIdx="13" presStyleCnt="15">
        <dgm:presLayoutVars>
          <dgm:chPref val="3"/>
        </dgm:presLayoutVars>
      </dgm:prSet>
      <dgm:spPr/>
    </dgm:pt>
    <dgm:pt modelId="{19ABE060-227C-4D52-85EC-D719DA900187}" type="pres">
      <dgm:prSet presAssocID="{763B49F3-3985-4E9C-B77C-F9A7ED6C2D28}" presName="rootConnector" presStyleLbl="node3" presStyleIdx="13" presStyleCnt="15"/>
      <dgm:spPr/>
    </dgm:pt>
    <dgm:pt modelId="{2DA7A841-077E-4027-9BDF-BFFCC82ED37D}" type="pres">
      <dgm:prSet presAssocID="{763B49F3-3985-4E9C-B77C-F9A7ED6C2D28}" presName="hierChild4" presStyleCnt="0"/>
      <dgm:spPr/>
    </dgm:pt>
    <dgm:pt modelId="{E5F3A827-1C33-4368-9145-F01CC01BFBBC}" type="pres">
      <dgm:prSet presAssocID="{763B49F3-3985-4E9C-B77C-F9A7ED6C2D28}" presName="hierChild5" presStyleCnt="0"/>
      <dgm:spPr/>
    </dgm:pt>
    <dgm:pt modelId="{EF45F557-662E-4E21-AFCF-5609D3AF5F73}" type="pres">
      <dgm:prSet presAssocID="{E0E5E3EB-CCE8-49D8-90E1-369490608024}" presName="Name48" presStyleLbl="parChTrans1D3" presStyleIdx="14" presStyleCnt="15"/>
      <dgm:spPr/>
    </dgm:pt>
    <dgm:pt modelId="{7394447E-832B-4CC4-9D05-E8AFB27CE093}" type="pres">
      <dgm:prSet presAssocID="{B2EC07B4-00BB-4F88-B4EC-B1847BF49D29}" presName="hierRoot2" presStyleCnt="0">
        <dgm:presLayoutVars>
          <dgm:hierBranch val="r"/>
        </dgm:presLayoutVars>
      </dgm:prSet>
      <dgm:spPr/>
    </dgm:pt>
    <dgm:pt modelId="{DFE3E550-AB12-417F-90DC-14486D4645D8}" type="pres">
      <dgm:prSet presAssocID="{B2EC07B4-00BB-4F88-B4EC-B1847BF49D29}" presName="rootComposite" presStyleCnt="0"/>
      <dgm:spPr/>
    </dgm:pt>
    <dgm:pt modelId="{9CC4A7A3-F103-461E-BECB-51762CCD582C}" type="pres">
      <dgm:prSet presAssocID="{B2EC07B4-00BB-4F88-B4EC-B1847BF49D29}" presName="rootText" presStyleLbl="node3" presStyleIdx="14" presStyleCnt="15">
        <dgm:presLayoutVars>
          <dgm:chPref val="3"/>
        </dgm:presLayoutVars>
      </dgm:prSet>
      <dgm:spPr/>
    </dgm:pt>
    <dgm:pt modelId="{0DE36EB4-5DE8-4BA7-B453-AC26352AE486}" type="pres">
      <dgm:prSet presAssocID="{B2EC07B4-00BB-4F88-B4EC-B1847BF49D29}" presName="rootConnector" presStyleLbl="node3" presStyleIdx="14" presStyleCnt="15"/>
      <dgm:spPr/>
    </dgm:pt>
    <dgm:pt modelId="{08EC4C56-588B-4F48-A434-7B52B30908C2}" type="pres">
      <dgm:prSet presAssocID="{B2EC07B4-00BB-4F88-B4EC-B1847BF49D29}" presName="hierChild4" presStyleCnt="0"/>
      <dgm:spPr/>
    </dgm:pt>
    <dgm:pt modelId="{D93346E2-46DB-41CD-88E1-E6BE4C5D683C}" type="pres">
      <dgm:prSet presAssocID="{B2EC07B4-00BB-4F88-B4EC-B1847BF49D29}" presName="hierChild5" presStyleCnt="0"/>
      <dgm:spPr/>
    </dgm:pt>
    <dgm:pt modelId="{850C03C7-1AB1-427D-922A-41131BB127B5}" type="pres">
      <dgm:prSet presAssocID="{64EE1B9E-2FBF-4B8C-ADE4-9A17ACEA8AB0}" presName="hierChild5" presStyleCnt="0"/>
      <dgm:spPr/>
    </dgm:pt>
    <dgm:pt modelId="{EEDB8CF7-FB49-455C-8113-DA75F4205A8E}" type="pres">
      <dgm:prSet presAssocID="{64C9B94C-CE29-491E-B3D5-A32F229B7DF1}" presName="hierChild3" presStyleCnt="0"/>
      <dgm:spPr/>
    </dgm:pt>
  </dgm:ptLst>
  <dgm:cxnLst>
    <dgm:cxn modelId="{54C1B700-B250-4B4E-B0A5-ABAE0C2F6487}" type="presOf" srcId="{DBAEE6DB-138B-491E-BFDA-6DEAD70C8367}" destId="{C1C95C2E-7C8C-41AB-BD30-96B9BB2F87E1}" srcOrd="0" destOrd="0" presId="urn:microsoft.com/office/officeart/2005/8/layout/orgChart1"/>
    <dgm:cxn modelId="{82C8C401-F098-413F-B768-0726B8BA6287}" type="presOf" srcId="{E7BFA328-428B-423A-9EE0-FE625BDDB9DB}" destId="{9F5A593D-B155-456B-B526-61EE4C6B878A}" srcOrd="0" destOrd="0" presId="urn:microsoft.com/office/officeart/2005/8/layout/orgChart1"/>
    <dgm:cxn modelId="{679FCD03-18FC-4920-A3A6-3F9764896603}" srcId="{50064438-B26E-46B2-9CC1-934497CEAD38}" destId="{A5E5A4DC-FA55-489B-A577-A7968A61E762}" srcOrd="1" destOrd="0" parTransId="{CD1459A4-9F71-44D8-97C3-9A7825EAD545}" sibTransId="{F983F87A-5F26-441D-94FD-711AC70F79DF}"/>
    <dgm:cxn modelId="{11715904-38D5-4AE0-B5CA-303611F0F66C}" type="presOf" srcId="{763B49F3-3985-4E9C-B77C-F9A7ED6C2D28}" destId="{7E42CC19-9267-47C1-9D6D-1562521E402C}" srcOrd="0" destOrd="0" presId="urn:microsoft.com/office/officeart/2005/8/layout/orgChart1"/>
    <dgm:cxn modelId="{BF393106-DEE0-417F-A600-2B0DF5C81ECC}" type="presOf" srcId="{453B025F-23A5-4564-96FC-6CFDC47F190E}" destId="{12259367-F1AB-4B4E-ADFD-D6330FC03D95}" srcOrd="1" destOrd="0" presId="urn:microsoft.com/office/officeart/2005/8/layout/orgChart1"/>
    <dgm:cxn modelId="{9F41130A-8DF3-42E1-BEC9-E1F791BE7AFB}" type="presOf" srcId="{C922F156-85BB-41D6-9571-BCD14FCF4DA3}" destId="{35C3AB56-6CB9-4B2F-B134-14BA19156A13}" srcOrd="0" destOrd="0" presId="urn:microsoft.com/office/officeart/2005/8/layout/orgChart1"/>
    <dgm:cxn modelId="{DEA56B0B-D890-46DF-9CB6-07CAE4FB2462}" type="presOf" srcId="{7E2613F5-6BCB-4969-B2AE-4A82606AEA06}" destId="{EAB2F8B3-36A7-4CFD-85C5-4BED273567DC}" srcOrd="0" destOrd="0" presId="urn:microsoft.com/office/officeart/2005/8/layout/orgChart1"/>
    <dgm:cxn modelId="{B33EFE0E-815C-4EA6-85F5-C8EE02C9AF1A}" srcId="{64EE1B9E-2FBF-4B8C-ADE4-9A17ACEA8AB0}" destId="{1F71E093-DAD0-4B6B-9522-6CA27B3BE16F}" srcOrd="0" destOrd="0" parTransId="{E507132D-2354-4E0A-8355-5BB1A2C586E2}" sibTransId="{58869F87-A91C-4E9C-80D0-A020D3E2426C}"/>
    <dgm:cxn modelId="{BADFFA10-0FAE-463E-A49F-FDCC169208EA}" type="presOf" srcId="{50064438-B26E-46B2-9CC1-934497CEAD38}" destId="{0D68B1FF-742C-4452-8510-CC2CA64E3D98}" srcOrd="1" destOrd="0" presId="urn:microsoft.com/office/officeart/2005/8/layout/orgChart1"/>
    <dgm:cxn modelId="{C1358813-4B4F-475C-B255-E99A03996F15}" type="presOf" srcId="{F4608112-4E9D-4612-99F4-7F06C656F7CF}" destId="{9DEE79EC-3900-4631-B60A-6D5C3B31C9BD}" srcOrd="1" destOrd="0" presId="urn:microsoft.com/office/officeart/2005/8/layout/orgChart1"/>
    <dgm:cxn modelId="{F024C714-9172-4817-A65F-BD9E586CBF0B}" type="presOf" srcId="{64C9B94C-CE29-491E-B3D5-A32F229B7DF1}" destId="{5F3CF448-95D5-4D79-AC8C-577426551066}" srcOrd="0" destOrd="0" presId="urn:microsoft.com/office/officeart/2005/8/layout/orgChart1"/>
    <dgm:cxn modelId="{A82DF720-E507-4DF2-9B7E-19A7E99D8063}" type="presOf" srcId="{13B86B6F-FF7D-43A4-A1E6-CE1507A9A9D1}" destId="{C0E21446-E311-4DB4-ACFE-35B1F2802A83}" srcOrd="1" destOrd="0" presId="urn:microsoft.com/office/officeart/2005/8/layout/orgChart1"/>
    <dgm:cxn modelId="{63991624-C61C-4EDC-BBA1-8A7A185504DF}" type="presOf" srcId="{B2E61F45-F9BC-4D83-9289-717C8FFD8248}" destId="{94377C55-995D-432D-BFA1-D1DC1C749252}" srcOrd="0" destOrd="0" presId="urn:microsoft.com/office/officeart/2005/8/layout/orgChart1"/>
    <dgm:cxn modelId="{1ED5D528-E087-4768-BC6E-94A6FBA54CA7}" type="presOf" srcId="{90C8E1C4-A691-4465-A642-185B5BA5146B}" destId="{5BD2E5C2-0AD5-4274-8CE4-160537C945D1}" srcOrd="0" destOrd="0" presId="urn:microsoft.com/office/officeart/2005/8/layout/orgChart1"/>
    <dgm:cxn modelId="{E9440A29-35F0-4E80-A4BB-B5B0087D7EE5}" srcId="{64C9B94C-CE29-491E-B3D5-A32F229B7DF1}" destId="{64EE1B9E-2FBF-4B8C-ADE4-9A17ACEA8AB0}" srcOrd="2" destOrd="0" parTransId="{3C8EFAEB-673A-48B3-BEEB-D3E022C02F08}" sibTransId="{6C3E13DF-288D-48B2-B080-3D57FD03C26A}"/>
    <dgm:cxn modelId="{98EAD42A-5ED8-49CC-8D29-09AFE858207E}" type="presOf" srcId="{D3B7B667-5D8F-4950-87B9-440B2B8A0802}" destId="{53641377-50E9-41AF-B3B7-328461593624}" srcOrd="0" destOrd="0" presId="urn:microsoft.com/office/officeart/2005/8/layout/orgChart1"/>
    <dgm:cxn modelId="{69A5212B-015A-476E-B790-E9C38A018C88}" type="presOf" srcId="{DE57D53F-830D-48A7-8F28-6A0B17B9E89B}" destId="{6713B7F8-D640-4C1F-824D-06AD463F5A82}" srcOrd="0" destOrd="0" presId="urn:microsoft.com/office/officeart/2005/8/layout/orgChart1"/>
    <dgm:cxn modelId="{B2C3BE2F-1641-4C6D-A549-436669C0C7D4}" srcId="{C8C502C9-61D5-4D0E-BB12-1FEE052B5DF0}" destId="{7E2613F5-6BCB-4969-B2AE-4A82606AEA06}" srcOrd="2" destOrd="0" parTransId="{B2E61F45-F9BC-4D83-9289-717C8FFD8248}" sibTransId="{D3E4573D-8F23-4925-8E01-FB1B0412F350}"/>
    <dgm:cxn modelId="{5C138231-C2BA-4386-A70D-7852B23B3E6D}" type="presOf" srcId="{CD1459A4-9F71-44D8-97C3-9A7825EAD545}" destId="{21868F6A-7F05-422C-AAA0-B8EA82FFA102}" srcOrd="0" destOrd="0" presId="urn:microsoft.com/office/officeart/2005/8/layout/orgChart1"/>
    <dgm:cxn modelId="{8B5D5D34-789A-40AC-BAE0-50D3DB0EC46F}" type="presOf" srcId="{1F71E093-DAD0-4B6B-9522-6CA27B3BE16F}" destId="{A72E9433-397F-4626-81ED-EB4B6DD59303}" srcOrd="0" destOrd="0" presId="urn:microsoft.com/office/officeart/2005/8/layout/orgChart1"/>
    <dgm:cxn modelId="{55880E37-8EFE-41DC-A9DA-F4A66A98E3AF}" srcId="{64C9B94C-CE29-491E-B3D5-A32F229B7DF1}" destId="{50064438-B26E-46B2-9CC1-934497CEAD38}" srcOrd="1" destOrd="0" parTransId="{1C7DE301-6903-4CC5-B772-CBDE3F021C48}" sibTransId="{E4511F81-3883-42EC-BBF9-AD7E8768C331}"/>
    <dgm:cxn modelId="{C1219840-4DB6-4BB2-BDF4-2E89CCB1BF2A}" type="presOf" srcId="{42E45EC0-42ED-4766-B662-042558A5F848}" destId="{4BEFD702-E1A6-469D-86B7-AA299945D538}" srcOrd="1" destOrd="0" presId="urn:microsoft.com/office/officeart/2005/8/layout/orgChart1"/>
    <dgm:cxn modelId="{0AF49E5E-C6ED-4464-8437-24F7DC3F5764}" type="presOf" srcId="{64C9B94C-CE29-491E-B3D5-A32F229B7DF1}" destId="{05F340A2-CF6E-4ACA-90D0-24D6CFC7DD10}" srcOrd="1" destOrd="0" presId="urn:microsoft.com/office/officeart/2005/8/layout/orgChart1"/>
    <dgm:cxn modelId="{7A2C6D60-1FAD-477E-A025-FAA053FD534E}" type="presOf" srcId="{64EE1B9E-2FBF-4B8C-ADE4-9A17ACEA8AB0}" destId="{01225131-3092-49EE-A787-F45BCEDC7F80}" srcOrd="1" destOrd="0" presId="urn:microsoft.com/office/officeart/2005/8/layout/orgChart1"/>
    <dgm:cxn modelId="{888F6C43-47AA-48A5-B5DD-CFBE4B92A5D3}" type="presOf" srcId="{2740DE22-F354-48B6-9B35-C7BAF93A22E4}" destId="{327B4C13-5650-449A-BEC5-E9A84B635C7F}" srcOrd="1" destOrd="0" presId="urn:microsoft.com/office/officeart/2005/8/layout/orgChart1"/>
    <dgm:cxn modelId="{5CBF1F65-B8D9-42CB-8C37-BC9CC14ABB08}" type="presOf" srcId="{A1182017-3BB5-49AA-AE04-3B69AC745703}" destId="{FBE1CD44-1476-4DCA-9852-1D3F3D3EEAF8}" srcOrd="0" destOrd="0" presId="urn:microsoft.com/office/officeart/2005/8/layout/orgChart1"/>
    <dgm:cxn modelId="{F0E28647-4F88-44D6-92D0-7DDD287C8BE8}" type="presOf" srcId="{13B86B6F-FF7D-43A4-A1E6-CE1507A9A9D1}" destId="{C7807037-965F-4BEB-A98A-80017D0E22B4}" srcOrd="0" destOrd="0" presId="urn:microsoft.com/office/officeart/2005/8/layout/orgChart1"/>
    <dgm:cxn modelId="{E3311C68-7A4E-486B-A063-FB4C50A72905}" srcId="{C8C502C9-61D5-4D0E-BB12-1FEE052B5DF0}" destId="{E3CCFFA0-869C-4918-84D3-14F4685B2561}" srcOrd="1" destOrd="0" parTransId="{E9E2CF7B-87DA-48AA-A08A-FB90E69CE879}" sibTransId="{E0F48B06-E166-4C31-BD54-7E913D631172}"/>
    <dgm:cxn modelId="{CAFEAA48-EC98-4AC0-8C87-D46EA4173663}" type="presOf" srcId="{1ACF2EC0-B67C-4917-A457-D0FF5DC251E3}" destId="{CBCF045E-1EAD-46C4-9498-29A770D13FF2}" srcOrd="0" destOrd="0" presId="urn:microsoft.com/office/officeart/2005/8/layout/orgChart1"/>
    <dgm:cxn modelId="{8360CD48-113F-4BEA-9E38-ECAB6E059823}" type="presOf" srcId="{763B49F3-3985-4E9C-B77C-F9A7ED6C2D28}" destId="{19ABE060-227C-4D52-85EC-D719DA900187}" srcOrd="1" destOrd="0" presId="urn:microsoft.com/office/officeart/2005/8/layout/orgChart1"/>
    <dgm:cxn modelId="{58E9576A-10C4-469D-9B7A-C999A728CDBB}" type="presOf" srcId="{25F9AFD2-A9BC-4045-BB62-1DB6BC85FC75}" destId="{8FE36392-4E49-4F79-9F72-B2AC552F4EC3}" srcOrd="0" destOrd="0" presId="urn:microsoft.com/office/officeart/2005/8/layout/orgChart1"/>
    <dgm:cxn modelId="{EC68846B-F553-4070-9638-D34985FC2211}" type="presOf" srcId="{90C8E1C4-A691-4465-A642-185B5BA5146B}" destId="{1C88BEDF-A302-430B-A3BB-0F3F2D485664}" srcOrd="1" destOrd="0" presId="urn:microsoft.com/office/officeart/2005/8/layout/orgChart1"/>
    <dgm:cxn modelId="{3426CE6B-F816-467F-B296-8C085E716F6C}" type="presOf" srcId="{E0E5E3EB-CCE8-49D8-90E1-369490608024}" destId="{EF45F557-662E-4E21-AFCF-5609D3AF5F73}" srcOrd="0" destOrd="0" presId="urn:microsoft.com/office/officeart/2005/8/layout/orgChart1"/>
    <dgm:cxn modelId="{A873934D-6795-413E-916A-45775FABC7A5}" type="presOf" srcId="{50064438-B26E-46B2-9CC1-934497CEAD38}" destId="{F342FFC2-F371-47A5-8103-CDB061668A8F}" srcOrd="0" destOrd="0" presId="urn:microsoft.com/office/officeart/2005/8/layout/orgChart1"/>
    <dgm:cxn modelId="{1B95D26D-6646-4E24-9A16-8A0E0405FF06}" srcId="{C922F156-85BB-41D6-9571-BCD14FCF4DA3}" destId="{64C9B94C-CE29-491E-B3D5-A32F229B7DF1}" srcOrd="0" destOrd="0" parTransId="{25A9D013-870A-4667-BFFE-48E64E4C0A08}" sibTransId="{7B6B75FE-6D05-4E7C-98B8-4D82A7727A6C}"/>
    <dgm:cxn modelId="{828EDD4F-3DF4-4065-93E3-3B05D3FC3B9F}" type="presOf" srcId="{1C7DE301-6903-4CC5-B772-CBDE3F021C48}" destId="{6D50D97B-176F-4155-AC45-396503770B23}" srcOrd="0" destOrd="0" presId="urn:microsoft.com/office/officeart/2005/8/layout/orgChart1"/>
    <dgm:cxn modelId="{0638FA4F-3B7B-47E6-8C38-E5AAB0F49548}" type="presOf" srcId="{F4E9A719-490B-4A52-904A-7AD6CE2B6BBB}" destId="{B249DC3D-F088-40D1-9A39-88F0083D6083}" srcOrd="0" destOrd="0" presId="urn:microsoft.com/office/officeart/2005/8/layout/orgChart1"/>
    <dgm:cxn modelId="{74CD2652-F8FC-4D56-8F8E-1138E53855D5}" type="presOf" srcId="{C8C502C9-61D5-4D0E-BB12-1FEE052B5DF0}" destId="{3B180211-D052-4F93-B52D-E6F6ED41DB0C}" srcOrd="1" destOrd="0" presId="urn:microsoft.com/office/officeart/2005/8/layout/orgChart1"/>
    <dgm:cxn modelId="{1FE7F773-8853-4BA5-AFEF-C1FD2E4327D8}" srcId="{64C9B94C-CE29-491E-B3D5-A32F229B7DF1}" destId="{C8C502C9-61D5-4D0E-BB12-1FEE052B5DF0}" srcOrd="0" destOrd="0" parTransId="{DBAEE6DB-138B-491E-BFDA-6DEAD70C8367}" sibTransId="{FC8057B4-730D-4FE5-98C0-D8B8141C0126}"/>
    <dgm:cxn modelId="{A560FA74-1B09-4DD7-B14C-E8FC22BB0E59}" type="presOf" srcId="{DE57D53F-830D-48A7-8F28-6A0B17B9E89B}" destId="{CA20F791-035E-4799-9609-5731B779B92D}" srcOrd="1" destOrd="0" presId="urn:microsoft.com/office/officeart/2005/8/layout/orgChart1"/>
    <dgm:cxn modelId="{557F1757-3139-4A4C-934C-94C373DDF051}" type="presOf" srcId="{9D5B83A2-8622-4BCC-AEA4-BDDA812495D4}" destId="{C547368A-8A16-4C28-AF0C-945FC074320D}" srcOrd="0" destOrd="0" presId="urn:microsoft.com/office/officeart/2005/8/layout/orgChart1"/>
    <dgm:cxn modelId="{35757678-B889-4492-A7A2-A7B0223DBEB8}" srcId="{64EE1B9E-2FBF-4B8C-ADE4-9A17ACEA8AB0}" destId="{763B49F3-3985-4E9C-B77C-F9A7ED6C2D28}" srcOrd="5" destOrd="0" parTransId="{D3B7B667-5D8F-4950-87B9-440B2B8A0802}" sibTransId="{DA791D3F-07EF-44F5-8936-F4A1AE3AF283}"/>
    <dgm:cxn modelId="{01E76B5A-FB1A-458B-80A4-5B301EB62450}" type="presOf" srcId="{B2EC07B4-00BB-4F88-B4EC-B1847BF49D29}" destId="{9CC4A7A3-F103-461E-BECB-51762CCD582C}" srcOrd="0" destOrd="0" presId="urn:microsoft.com/office/officeart/2005/8/layout/orgChart1"/>
    <dgm:cxn modelId="{8E23CE7C-CEAC-4801-A8E6-5066E3D6F244}" type="presOf" srcId="{EDE4DB66-9380-46B9-9F15-B52DDD076B65}" destId="{DFC90921-972D-49AB-8070-DFBE72526D55}" srcOrd="0" destOrd="0" presId="urn:microsoft.com/office/officeart/2005/8/layout/orgChart1"/>
    <dgm:cxn modelId="{B75DFE7D-3707-4DE1-9B1A-8C81056CF3C4}" type="presOf" srcId="{E3CCFFA0-869C-4918-84D3-14F4685B2561}" destId="{38245FC9-FF56-470B-87E3-930FFE325BF9}" srcOrd="1" destOrd="0" presId="urn:microsoft.com/office/officeart/2005/8/layout/orgChart1"/>
    <dgm:cxn modelId="{1AE1787E-1126-4641-8564-5D01CD10A4C8}" srcId="{64EE1B9E-2FBF-4B8C-ADE4-9A17ACEA8AB0}" destId="{F4608112-4E9D-4612-99F4-7F06C656F7CF}" srcOrd="1" destOrd="0" parTransId="{E7BFA328-428B-423A-9EE0-FE625BDDB9DB}" sibTransId="{32FF14FC-B3B0-44F7-B845-E9DDC6ECA59B}"/>
    <dgm:cxn modelId="{06AE1F94-13CA-4A6B-BCCB-F4B0EC7F497C}" type="presOf" srcId="{8161CED9-56D9-458A-840A-F38B3EB8D87E}" destId="{2490ACB9-FE2B-4D8B-8B89-9573E0ACF029}" srcOrd="0" destOrd="0" presId="urn:microsoft.com/office/officeart/2005/8/layout/orgChart1"/>
    <dgm:cxn modelId="{427B0797-7D98-4530-9EC4-4CA8A01D8AA4}" type="presOf" srcId="{3C8EFAEB-673A-48B3-BEEB-D3E022C02F08}" destId="{9CF917B8-5AC1-4757-A4A1-DBB93A3E9FD4}" srcOrd="0" destOrd="0" presId="urn:microsoft.com/office/officeart/2005/8/layout/orgChart1"/>
    <dgm:cxn modelId="{B1C06F9E-7AAE-4993-B1DB-55A020A7ABA7}" srcId="{50064438-B26E-46B2-9CC1-934497CEAD38}" destId="{EDE4DB66-9380-46B9-9F15-B52DDD076B65}" srcOrd="2" destOrd="0" parTransId="{F4E9A719-490B-4A52-904A-7AD6CE2B6BBB}" sibTransId="{5F55B5D6-32E0-4953-81B4-D75A43204720}"/>
    <dgm:cxn modelId="{C5E32FA6-C1D2-4540-BB95-6F8A50534275}" type="presOf" srcId="{42E45EC0-42ED-4766-B662-042558A5F848}" destId="{EFC648D2-CD1C-4B2D-98E5-ABF3DED1BDFE}" srcOrd="0" destOrd="0" presId="urn:microsoft.com/office/officeart/2005/8/layout/orgChart1"/>
    <dgm:cxn modelId="{6FD9ACA8-EC24-4568-9B70-FCE5E0E80E18}" srcId="{50064438-B26E-46B2-9CC1-934497CEAD38}" destId="{90C8E1C4-A691-4465-A642-185B5BA5146B}" srcOrd="4" destOrd="0" parTransId="{C305B2F4-AD8C-404F-9BA3-83362EC43E60}" sibTransId="{A767E4A4-B5A0-4C06-BAA4-D751FAD841EC}"/>
    <dgm:cxn modelId="{84F34BAD-0CFE-4B4B-B132-F4D51F365398}" type="presOf" srcId="{72DF1C4D-AD7D-4BF9-9B2C-1E8D03C7DA04}" destId="{B8E50172-12D8-4D78-A9A3-00BA7EAE1C59}" srcOrd="0" destOrd="0" presId="urn:microsoft.com/office/officeart/2005/8/layout/orgChart1"/>
    <dgm:cxn modelId="{8BB03EAE-9543-42A5-92ED-0CD7165ACCA9}" srcId="{64EE1B9E-2FBF-4B8C-ADE4-9A17ACEA8AB0}" destId="{13B86B6F-FF7D-43A4-A1E6-CE1507A9A9D1}" srcOrd="4" destOrd="0" parTransId="{9D5B83A2-8622-4BCC-AEA4-BDDA812495D4}" sibTransId="{D21E6E4F-8652-4201-8254-99C9F957F598}"/>
    <dgm:cxn modelId="{D0BFCDAE-4D9F-4138-8E6A-12C30968836E}" type="presOf" srcId="{2740DE22-F354-48B6-9B35-C7BAF93A22E4}" destId="{72D5AC26-0082-4E8E-AB89-A5A6B1734B39}" srcOrd="0" destOrd="0" presId="urn:microsoft.com/office/officeart/2005/8/layout/orgChart1"/>
    <dgm:cxn modelId="{ECD451B2-7E35-48E8-B6B4-27845BAD2B63}" type="presOf" srcId="{453B025F-23A5-4564-96FC-6CFDC47F190E}" destId="{7C6A2347-2505-4F19-8350-9A43AA290FAE}" srcOrd="0" destOrd="0" presId="urn:microsoft.com/office/officeart/2005/8/layout/orgChart1"/>
    <dgm:cxn modelId="{A52F46B4-8A3C-4529-863F-4EED11B8DD44}" type="presOf" srcId="{C8C502C9-61D5-4D0E-BB12-1FEE052B5DF0}" destId="{86BAFBAA-C63F-4DD9-A426-237F70160FD4}" srcOrd="0" destOrd="0" presId="urn:microsoft.com/office/officeart/2005/8/layout/orgChart1"/>
    <dgm:cxn modelId="{EB92D2B6-AEE6-4CF6-8135-D4B08CDC56DC}" type="presOf" srcId="{A5E5A4DC-FA55-489B-A577-A7968A61E762}" destId="{9FFE92B8-C234-4EFF-AF08-E9FA56058E25}" srcOrd="0" destOrd="0" presId="urn:microsoft.com/office/officeart/2005/8/layout/orgChart1"/>
    <dgm:cxn modelId="{235302BA-EA9F-4F75-8B95-4805BDF1210D}" srcId="{50064438-B26E-46B2-9CC1-934497CEAD38}" destId="{42E45EC0-42ED-4766-B662-042558A5F848}" srcOrd="3" destOrd="0" parTransId="{72DF1C4D-AD7D-4BF9-9B2C-1E8D03C7DA04}" sibTransId="{6DF3BA0F-C523-4970-8913-3C7C7DE4D3B2}"/>
    <dgm:cxn modelId="{5CE5C7CA-78BD-42C2-A6A6-87D82E956D8F}" type="presOf" srcId="{64EE1B9E-2FBF-4B8C-ADE4-9A17ACEA8AB0}" destId="{110D6C80-F22F-4C8F-925D-C49321B21C0F}" srcOrd="0" destOrd="0" presId="urn:microsoft.com/office/officeart/2005/8/layout/orgChart1"/>
    <dgm:cxn modelId="{345FDACA-6C60-4002-A543-DFC0CC185CC8}" type="presOf" srcId="{D2E3BAC1-E6B7-41E4-B19B-A7FDFBC71419}" destId="{84B4AC10-EC5E-41C0-8E39-AF65CCFDE4F9}" srcOrd="0" destOrd="0" presId="urn:microsoft.com/office/officeart/2005/8/layout/orgChart1"/>
    <dgm:cxn modelId="{5A074FCF-AAD1-404B-85F3-6DF9324E4C0E}" type="presOf" srcId="{C305B2F4-AD8C-404F-9BA3-83362EC43E60}" destId="{893D2CBC-3A22-49F6-BCC1-FDFA38B17677}" srcOrd="0" destOrd="0" presId="urn:microsoft.com/office/officeart/2005/8/layout/orgChart1"/>
    <dgm:cxn modelId="{24F359D5-D1F5-41C3-A13B-83E453DD52BB}" srcId="{64EE1B9E-2FBF-4B8C-ADE4-9A17ACEA8AB0}" destId="{DE57D53F-830D-48A7-8F28-6A0B17B9E89B}" srcOrd="2" destOrd="0" parTransId="{D2E3BAC1-E6B7-41E4-B19B-A7FDFBC71419}" sibTransId="{B7E671A4-4C8C-4747-95DF-FF1C36F4E2E0}"/>
    <dgm:cxn modelId="{4DFF1ED9-0567-4BFB-B8BA-C80A870C5248}" type="presOf" srcId="{B2EC07B4-00BB-4F88-B4EC-B1847BF49D29}" destId="{0DE36EB4-5DE8-4BA7-B453-AC26352AE486}" srcOrd="1" destOrd="0" presId="urn:microsoft.com/office/officeart/2005/8/layout/orgChart1"/>
    <dgm:cxn modelId="{D8A925DD-7C8D-44A0-AD16-62070BD6BD1C}" type="presOf" srcId="{F4608112-4E9D-4612-99F4-7F06C656F7CF}" destId="{BBD7AB97-C2B8-4E43-8F05-8D747B2098AE}" srcOrd="0" destOrd="0" presId="urn:microsoft.com/office/officeart/2005/8/layout/orgChart1"/>
    <dgm:cxn modelId="{C0FC4BDE-AA14-49F3-B625-167D9B9C40B6}" srcId="{50064438-B26E-46B2-9CC1-934497CEAD38}" destId="{453B025F-23A5-4564-96FC-6CFDC47F190E}" srcOrd="0" destOrd="0" parTransId="{1ACF2EC0-B67C-4917-A457-D0FF5DC251E3}" sibTransId="{5DA9B41E-FE60-4879-95FA-8F358678F7F1}"/>
    <dgm:cxn modelId="{4B00DDDE-2CA4-4172-AD6F-B8E2F6E06A51}" type="presOf" srcId="{A5E5A4DC-FA55-489B-A577-A7968A61E762}" destId="{32BF2AD3-89B4-4167-BB7B-A39F1528829C}" srcOrd="1" destOrd="0" presId="urn:microsoft.com/office/officeart/2005/8/layout/orgChart1"/>
    <dgm:cxn modelId="{25DAB3DF-21F3-4FC9-94EF-86F4524C5EFD}" type="presOf" srcId="{7E2613F5-6BCB-4969-B2AE-4A82606AEA06}" destId="{37A5440A-147F-4369-B4A1-3E9312F4889C}" srcOrd="1" destOrd="0" presId="urn:microsoft.com/office/officeart/2005/8/layout/orgChart1"/>
    <dgm:cxn modelId="{AC89CAE2-3583-4CEF-9DF0-3DEAE4028024}" srcId="{C8C502C9-61D5-4D0E-BB12-1FEE052B5DF0}" destId="{2740DE22-F354-48B6-9B35-C7BAF93A22E4}" srcOrd="0" destOrd="0" parTransId="{25F9AFD2-A9BC-4045-BB62-1DB6BC85FC75}" sibTransId="{9C5FC711-DACD-45E1-B9BA-D2870BC94179}"/>
    <dgm:cxn modelId="{00A1CCE3-3CFB-4C22-92B9-6E54C95F80EA}" srcId="{64EE1B9E-2FBF-4B8C-ADE4-9A17ACEA8AB0}" destId="{A1182017-3BB5-49AA-AE04-3B69AC745703}" srcOrd="3" destOrd="0" parTransId="{8161CED9-56D9-458A-840A-F38B3EB8D87E}" sibTransId="{66C919D9-C23F-46B2-9627-D1535D58215F}"/>
    <dgm:cxn modelId="{BB51D7E7-EC26-476B-86C4-4DB2F70BF0B8}" type="presOf" srcId="{A1182017-3BB5-49AA-AE04-3B69AC745703}" destId="{E680A272-47D5-4A33-B04B-444D01DD6D63}" srcOrd="1" destOrd="0" presId="urn:microsoft.com/office/officeart/2005/8/layout/orgChart1"/>
    <dgm:cxn modelId="{47E280F0-A725-4F86-AEA6-92D39EAE2C43}" type="presOf" srcId="{E3CCFFA0-869C-4918-84D3-14F4685B2561}" destId="{A6874410-B024-4D69-9538-49330081A7E5}" srcOrd="0" destOrd="0" presId="urn:microsoft.com/office/officeart/2005/8/layout/orgChart1"/>
    <dgm:cxn modelId="{8F2E07F2-8963-4122-9552-7544D18944D8}" type="presOf" srcId="{E9E2CF7B-87DA-48AA-A08A-FB90E69CE879}" destId="{74D76FAE-CCF3-4583-9362-300A7869362F}" srcOrd="0" destOrd="0" presId="urn:microsoft.com/office/officeart/2005/8/layout/orgChart1"/>
    <dgm:cxn modelId="{43D175F3-73E9-41C4-B292-8AE74E388216}" srcId="{64EE1B9E-2FBF-4B8C-ADE4-9A17ACEA8AB0}" destId="{B2EC07B4-00BB-4F88-B4EC-B1847BF49D29}" srcOrd="6" destOrd="0" parTransId="{E0E5E3EB-CCE8-49D8-90E1-369490608024}" sibTransId="{3E5FF21C-E5C6-46E4-B645-180DD51A2419}"/>
    <dgm:cxn modelId="{6725BCF6-AECF-4C15-BCAA-4AF561724799}" type="presOf" srcId="{1F71E093-DAD0-4B6B-9522-6CA27B3BE16F}" destId="{997069C9-B091-4EBF-86F9-29337630F856}" srcOrd="1" destOrd="0" presId="urn:microsoft.com/office/officeart/2005/8/layout/orgChart1"/>
    <dgm:cxn modelId="{7C221AF9-1E3D-47F1-9947-266CF0E5AE6A}" type="presOf" srcId="{EDE4DB66-9380-46B9-9F15-B52DDD076B65}" destId="{FA65F4B9-371D-4BD4-97C7-C331F5095520}" srcOrd="1" destOrd="0" presId="urn:microsoft.com/office/officeart/2005/8/layout/orgChart1"/>
    <dgm:cxn modelId="{FE1E6AFD-04C6-416B-8DA5-A7C211E25B85}" type="presOf" srcId="{E507132D-2354-4E0A-8355-5BB1A2C586E2}" destId="{1C9E5F7E-5B78-4D19-ABDB-1C4686E4009C}" srcOrd="0" destOrd="0" presId="urn:microsoft.com/office/officeart/2005/8/layout/orgChart1"/>
    <dgm:cxn modelId="{50789DB3-C014-42D9-B2DF-01583E223872}" type="presParOf" srcId="{35C3AB56-6CB9-4B2F-B134-14BA19156A13}" destId="{B6AAB4B1-B22B-4F38-B6DC-05A95E4C3F64}" srcOrd="0" destOrd="0" presId="urn:microsoft.com/office/officeart/2005/8/layout/orgChart1"/>
    <dgm:cxn modelId="{12C3CBF2-0CFA-4960-8CE5-6816A88E9CD3}" type="presParOf" srcId="{B6AAB4B1-B22B-4F38-B6DC-05A95E4C3F64}" destId="{91B5581B-DC61-4098-B430-9C77E1D8CECA}" srcOrd="0" destOrd="0" presId="urn:microsoft.com/office/officeart/2005/8/layout/orgChart1"/>
    <dgm:cxn modelId="{7836ABE3-A968-41F9-B53A-D88BD3EE1831}" type="presParOf" srcId="{91B5581B-DC61-4098-B430-9C77E1D8CECA}" destId="{5F3CF448-95D5-4D79-AC8C-577426551066}" srcOrd="0" destOrd="0" presId="urn:microsoft.com/office/officeart/2005/8/layout/orgChart1"/>
    <dgm:cxn modelId="{E9A8374E-CB74-4826-9D34-5AA8590C7C92}" type="presParOf" srcId="{91B5581B-DC61-4098-B430-9C77E1D8CECA}" destId="{05F340A2-CF6E-4ACA-90D0-24D6CFC7DD10}" srcOrd="1" destOrd="0" presId="urn:microsoft.com/office/officeart/2005/8/layout/orgChart1"/>
    <dgm:cxn modelId="{BF443973-0A16-45A2-BA88-ED0E47A16526}" type="presParOf" srcId="{B6AAB4B1-B22B-4F38-B6DC-05A95E4C3F64}" destId="{C42A5D25-1B37-4E56-9A77-A60CD970D31D}" srcOrd="1" destOrd="0" presId="urn:microsoft.com/office/officeart/2005/8/layout/orgChart1"/>
    <dgm:cxn modelId="{102848B0-73FF-446B-8BCB-68B21A862249}" type="presParOf" srcId="{C42A5D25-1B37-4E56-9A77-A60CD970D31D}" destId="{C1C95C2E-7C8C-41AB-BD30-96B9BB2F87E1}" srcOrd="0" destOrd="0" presId="urn:microsoft.com/office/officeart/2005/8/layout/orgChart1"/>
    <dgm:cxn modelId="{4991CE0C-F017-4086-96B8-CA6642766529}" type="presParOf" srcId="{C42A5D25-1B37-4E56-9A77-A60CD970D31D}" destId="{402420D3-F9BF-4251-A65D-834B1571798F}" srcOrd="1" destOrd="0" presId="urn:microsoft.com/office/officeart/2005/8/layout/orgChart1"/>
    <dgm:cxn modelId="{965550BD-CEBA-4B22-ACB0-6F2BF357BB39}" type="presParOf" srcId="{402420D3-F9BF-4251-A65D-834B1571798F}" destId="{1D847371-BE8E-4C76-AC14-A7A6417AB0DA}" srcOrd="0" destOrd="0" presId="urn:microsoft.com/office/officeart/2005/8/layout/orgChart1"/>
    <dgm:cxn modelId="{A434AFC5-3D66-44D6-B75D-15A3A4941D7E}" type="presParOf" srcId="{1D847371-BE8E-4C76-AC14-A7A6417AB0DA}" destId="{86BAFBAA-C63F-4DD9-A426-237F70160FD4}" srcOrd="0" destOrd="0" presId="urn:microsoft.com/office/officeart/2005/8/layout/orgChart1"/>
    <dgm:cxn modelId="{515F1530-D4D2-491C-8C8A-4FF793E11D8F}" type="presParOf" srcId="{1D847371-BE8E-4C76-AC14-A7A6417AB0DA}" destId="{3B180211-D052-4F93-B52D-E6F6ED41DB0C}" srcOrd="1" destOrd="0" presId="urn:microsoft.com/office/officeart/2005/8/layout/orgChart1"/>
    <dgm:cxn modelId="{C80D4DA3-A411-4969-8FB5-5E9E2CAB9EC3}" type="presParOf" srcId="{402420D3-F9BF-4251-A65D-834B1571798F}" destId="{1EB77B08-2951-41BD-BA46-089E85C56D43}" srcOrd="1" destOrd="0" presId="urn:microsoft.com/office/officeart/2005/8/layout/orgChart1"/>
    <dgm:cxn modelId="{8EE9D245-D050-4C3F-8069-AE69F49319ED}" type="presParOf" srcId="{1EB77B08-2951-41BD-BA46-089E85C56D43}" destId="{8FE36392-4E49-4F79-9F72-B2AC552F4EC3}" srcOrd="0" destOrd="0" presId="urn:microsoft.com/office/officeart/2005/8/layout/orgChart1"/>
    <dgm:cxn modelId="{31ACD875-3233-4A77-8875-368246A445BC}" type="presParOf" srcId="{1EB77B08-2951-41BD-BA46-089E85C56D43}" destId="{A2A59B90-B6BC-4C7D-A7A2-8639F5CEAF7E}" srcOrd="1" destOrd="0" presId="urn:microsoft.com/office/officeart/2005/8/layout/orgChart1"/>
    <dgm:cxn modelId="{2FC3E56E-A3EA-4779-BA6C-BB94ABA4CED5}" type="presParOf" srcId="{A2A59B90-B6BC-4C7D-A7A2-8639F5CEAF7E}" destId="{CA8C628D-57B3-48F1-A827-5181B577264F}" srcOrd="0" destOrd="0" presId="urn:microsoft.com/office/officeart/2005/8/layout/orgChart1"/>
    <dgm:cxn modelId="{CE489D11-A971-4BEB-8B26-146F9349FFDD}" type="presParOf" srcId="{CA8C628D-57B3-48F1-A827-5181B577264F}" destId="{72D5AC26-0082-4E8E-AB89-A5A6B1734B39}" srcOrd="0" destOrd="0" presId="urn:microsoft.com/office/officeart/2005/8/layout/orgChart1"/>
    <dgm:cxn modelId="{42D154B3-0CEC-4E2A-83AC-081D279DE5A2}" type="presParOf" srcId="{CA8C628D-57B3-48F1-A827-5181B577264F}" destId="{327B4C13-5650-449A-BEC5-E9A84B635C7F}" srcOrd="1" destOrd="0" presId="urn:microsoft.com/office/officeart/2005/8/layout/orgChart1"/>
    <dgm:cxn modelId="{10468B5F-9558-4C41-80F3-7DBF4F714DF1}" type="presParOf" srcId="{A2A59B90-B6BC-4C7D-A7A2-8639F5CEAF7E}" destId="{EAA046C9-EFCB-41A8-B232-B230E7F6260E}" srcOrd="1" destOrd="0" presId="urn:microsoft.com/office/officeart/2005/8/layout/orgChart1"/>
    <dgm:cxn modelId="{458643FB-CD1F-44E8-94FF-EC13F3B9EA82}" type="presParOf" srcId="{A2A59B90-B6BC-4C7D-A7A2-8639F5CEAF7E}" destId="{4320AFC9-599F-4BA8-A26B-8206C0373766}" srcOrd="2" destOrd="0" presId="urn:microsoft.com/office/officeart/2005/8/layout/orgChart1"/>
    <dgm:cxn modelId="{895580D2-CDC9-439C-BD1E-E03A8751A1B3}" type="presParOf" srcId="{1EB77B08-2951-41BD-BA46-089E85C56D43}" destId="{74D76FAE-CCF3-4583-9362-300A7869362F}" srcOrd="2" destOrd="0" presId="urn:microsoft.com/office/officeart/2005/8/layout/orgChart1"/>
    <dgm:cxn modelId="{AC36D603-9A96-4975-A044-0FD40D00F70F}" type="presParOf" srcId="{1EB77B08-2951-41BD-BA46-089E85C56D43}" destId="{305D0300-27A2-488F-8340-829E563D0E68}" srcOrd="3" destOrd="0" presId="urn:microsoft.com/office/officeart/2005/8/layout/orgChart1"/>
    <dgm:cxn modelId="{2E5A3DB0-4079-4575-95EF-8FC2916FA346}" type="presParOf" srcId="{305D0300-27A2-488F-8340-829E563D0E68}" destId="{405D4B4D-774A-410C-88C9-E62C22109689}" srcOrd="0" destOrd="0" presId="urn:microsoft.com/office/officeart/2005/8/layout/orgChart1"/>
    <dgm:cxn modelId="{F1532E88-2403-4C04-9DD0-4C4E94563059}" type="presParOf" srcId="{405D4B4D-774A-410C-88C9-E62C22109689}" destId="{A6874410-B024-4D69-9538-49330081A7E5}" srcOrd="0" destOrd="0" presId="urn:microsoft.com/office/officeart/2005/8/layout/orgChart1"/>
    <dgm:cxn modelId="{CBF9FCA3-5980-43F4-967F-8033D72C5FC8}" type="presParOf" srcId="{405D4B4D-774A-410C-88C9-E62C22109689}" destId="{38245FC9-FF56-470B-87E3-930FFE325BF9}" srcOrd="1" destOrd="0" presId="urn:microsoft.com/office/officeart/2005/8/layout/orgChart1"/>
    <dgm:cxn modelId="{DD8ED3E1-F826-463A-8149-82666AB95C42}" type="presParOf" srcId="{305D0300-27A2-488F-8340-829E563D0E68}" destId="{4A1AB3A7-AE6F-452D-B105-E8EE5B051286}" srcOrd="1" destOrd="0" presId="urn:microsoft.com/office/officeart/2005/8/layout/orgChart1"/>
    <dgm:cxn modelId="{5D18D45A-0D8C-40B3-B224-5924D3BD7A16}" type="presParOf" srcId="{305D0300-27A2-488F-8340-829E563D0E68}" destId="{7CBF59E0-1ECA-431F-B38A-E989A099D469}" srcOrd="2" destOrd="0" presId="urn:microsoft.com/office/officeart/2005/8/layout/orgChart1"/>
    <dgm:cxn modelId="{BB74BDF0-E59D-4CD0-AE7D-C2CD7692CB79}" type="presParOf" srcId="{1EB77B08-2951-41BD-BA46-089E85C56D43}" destId="{94377C55-995D-432D-BFA1-D1DC1C749252}" srcOrd="4" destOrd="0" presId="urn:microsoft.com/office/officeart/2005/8/layout/orgChart1"/>
    <dgm:cxn modelId="{C822324D-933C-4EE7-A792-4C50F87AF0C8}" type="presParOf" srcId="{1EB77B08-2951-41BD-BA46-089E85C56D43}" destId="{AF4C4C6D-F363-4604-A003-5A9161BC1428}" srcOrd="5" destOrd="0" presId="urn:microsoft.com/office/officeart/2005/8/layout/orgChart1"/>
    <dgm:cxn modelId="{89A6B759-ACCB-41EB-B613-51D506F0BA2E}" type="presParOf" srcId="{AF4C4C6D-F363-4604-A003-5A9161BC1428}" destId="{89FB89BB-1284-4989-879E-481B8DADC969}" srcOrd="0" destOrd="0" presId="urn:microsoft.com/office/officeart/2005/8/layout/orgChart1"/>
    <dgm:cxn modelId="{B4858747-6764-40CF-A6BD-B947A99911A1}" type="presParOf" srcId="{89FB89BB-1284-4989-879E-481B8DADC969}" destId="{EAB2F8B3-36A7-4CFD-85C5-4BED273567DC}" srcOrd="0" destOrd="0" presId="urn:microsoft.com/office/officeart/2005/8/layout/orgChart1"/>
    <dgm:cxn modelId="{6336B289-8362-49A8-B01B-1D9C5CB04DEC}" type="presParOf" srcId="{89FB89BB-1284-4989-879E-481B8DADC969}" destId="{37A5440A-147F-4369-B4A1-3E9312F4889C}" srcOrd="1" destOrd="0" presId="urn:microsoft.com/office/officeart/2005/8/layout/orgChart1"/>
    <dgm:cxn modelId="{CBBE3F03-04F1-40C7-BD3D-F57CCBAA39FC}" type="presParOf" srcId="{AF4C4C6D-F363-4604-A003-5A9161BC1428}" destId="{3BAF01AB-DBD2-4951-BB0A-25F4339B58B1}" srcOrd="1" destOrd="0" presId="urn:microsoft.com/office/officeart/2005/8/layout/orgChart1"/>
    <dgm:cxn modelId="{06D981BA-7461-4A14-99AA-8E2E32C79CBD}" type="presParOf" srcId="{AF4C4C6D-F363-4604-A003-5A9161BC1428}" destId="{0A8403B1-9B14-4CC2-82EC-007162D793F5}" srcOrd="2" destOrd="0" presId="urn:microsoft.com/office/officeart/2005/8/layout/orgChart1"/>
    <dgm:cxn modelId="{35A47F4B-CABF-4B70-802C-DDD18580F225}" type="presParOf" srcId="{402420D3-F9BF-4251-A65D-834B1571798F}" destId="{59E725C9-B2DB-4D9C-A2B3-288D256C256F}" srcOrd="2" destOrd="0" presId="urn:microsoft.com/office/officeart/2005/8/layout/orgChart1"/>
    <dgm:cxn modelId="{299BD51A-AF65-40D3-844C-2FCF3BF3A950}" type="presParOf" srcId="{C42A5D25-1B37-4E56-9A77-A60CD970D31D}" destId="{6D50D97B-176F-4155-AC45-396503770B23}" srcOrd="2" destOrd="0" presId="urn:microsoft.com/office/officeart/2005/8/layout/orgChart1"/>
    <dgm:cxn modelId="{6CE6D9B2-3539-4D31-BCB5-8FA8661EF145}" type="presParOf" srcId="{C42A5D25-1B37-4E56-9A77-A60CD970D31D}" destId="{59892F7A-1435-47D6-98A1-DD42FD37C2B4}" srcOrd="3" destOrd="0" presId="urn:microsoft.com/office/officeart/2005/8/layout/orgChart1"/>
    <dgm:cxn modelId="{C9D2EC9C-F5C0-4944-8B9A-BB1C99295F96}" type="presParOf" srcId="{59892F7A-1435-47D6-98A1-DD42FD37C2B4}" destId="{31841C5F-3EB8-4C97-9B74-E2D6C285B781}" srcOrd="0" destOrd="0" presId="urn:microsoft.com/office/officeart/2005/8/layout/orgChart1"/>
    <dgm:cxn modelId="{0CD1C29B-D1BD-47AF-9BC1-FECF2B2F664E}" type="presParOf" srcId="{31841C5F-3EB8-4C97-9B74-E2D6C285B781}" destId="{F342FFC2-F371-47A5-8103-CDB061668A8F}" srcOrd="0" destOrd="0" presId="urn:microsoft.com/office/officeart/2005/8/layout/orgChart1"/>
    <dgm:cxn modelId="{FFDC47A3-C72E-4F15-ADD6-128D38847E07}" type="presParOf" srcId="{31841C5F-3EB8-4C97-9B74-E2D6C285B781}" destId="{0D68B1FF-742C-4452-8510-CC2CA64E3D98}" srcOrd="1" destOrd="0" presId="urn:microsoft.com/office/officeart/2005/8/layout/orgChart1"/>
    <dgm:cxn modelId="{E5D24942-2F29-4DAB-A925-453C4F5243EA}" type="presParOf" srcId="{59892F7A-1435-47D6-98A1-DD42FD37C2B4}" destId="{08E539FC-59C7-414C-A8F3-8E889EB1DDEC}" srcOrd="1" destOrd="0" presId="urn:microsoft.com/office/officeart/2005/8/layout/orgChart1"/>
    <dgm:cxn modelId="{829ADAC1-DEEA-4D4D-88A8-1A9A49E7A57B}" type="presParOf" srcId="{08E539FC-59C7-414C-A8F3-8E889EB1DDEC}" destId="{CBCF045E-1EAD-46C4-9498-29A770D13FF2}" srcOrd="0" destOrd="0" presId="urn:microsoft.com/office/officeart/2005/8/layout/orgChart1"/>
    <dgm:cxn modelId="{CF11E5BA-934B-4DDA-8017-042DEB602EAF}" type="presParOf" srcId="{08E539FC-59C7-414C-A8F3-8E889EB1DDEC}" destId="{272B954D-ABC0-4D48-842E-F06DFBDD0194}" srcOrd="1" destOrd="0" presId="urn:microsoft.com/office/officeart/2005/8/layout/orgChart1"/>
    <dgm:cxn modelId="{1723C04D-7CC5-46C7-99D3-3C82AB6E7B23}" type="presParOf" srcId="{272B954D-ABC0-4D48-842E-F06DFBDD0194}" destId="{9B4148E2-732F-42B6-9A87-E014CDD354C2}" srcOrd="0" destOrd="0" presId="urn:microsoft.com/office/officeart/2005/8/layout/orgChart1"/>
    <dgm:cxn modelId="{7AB3982C-7509-43BF-B611-7A4B7FCCCD8E}" type="presParOf" srcId="{9B4148E2-732F-42B6-9A87-E014CDD354C2}" destId="{7C6A2347-2505-4F19-8350-9A43AA290FAE}" srcOrd="0" destOrd="0" presId="urn:microsoft.com/office/officeart/2005/8/layout/orgChart1"/>
    <dgm:cxn modelId="{0CC8C233-2DD1-48CB-B71A-1040836773DB}" type="presParOf" srcId="{9B4148E2-732F-42B6-9A87-E014CDD354C2}" destId="{12259367-F1AB-4B4E-ADFD-D6330FC03D95}" srcOrd="1" destOrd="0" presId="urn:microsoft.com/office/officeart/2005/8/layout/orgChart1"/>
    <dgm:cxn modelId="{00102745-602B-41AB-AF9E-AEF52E9D7F57}" type="presParOf" srcId="{272B954D-ABC0-4D48-842E-F06DFBDD0194}" destId="{4D6C76D8-495B-4C24-9596-2377331BF7B0}" srcOrd="1" destOrd="0" presId="urn:microsoft.com/office/officeart/2005/8/layout/orgChart1"/>
    <dgm:cxn modelId="{0D5D1A24-7AE1-4E6B-98AF-D01234BD57F4}" type="presParOf" srcId="{272B954D-ABC0-4D48-842E-F06DFBDD0194}" destId="{9CC14401-CA88-4E79-9953-19CBA76F12D1}" srcOrd="2" destOrd="0" presId="urn:microsoft.com/office/officeart/2005/8/layout/orgChart1"/>
    <dgm:cxn modelId="{60F9692E-8157-470A-950E-4E0B68BC8D13}" type="presParOf" srcId="{08E539FC-59C7-414C-A8F3-8E889EB1DDEC}" destId="{21868F6A-7F05-422C-AAA0-B8EA82FFA102}" srcOrd="2" destOrd="0" presId="urn:microsoft.com/office/officeart/2005/8/layout/orgChart1"/>
    <dgm:cxn modelId="{A72D7248-3E3A-45DA-82FD-D35208D5526A}" type="presParOf" srcId="{08E539FC-59C7-414C-A8F3-8E889EB1DDEC}" destId="{C97E9B76-989A-424B-9AEA-75222111EC58}" srcOrd="3" destOrd="0" presId="urn:microsoft.com/office/officeart/2005/8/layout/orgChart1"/>
    <dgm:cxn modelId="{E6F2E1A1-74AB-4CD9-BF84-155D963DA7DA}" type="presParOf" srcId="{C97E9B76-989A-424B-9AEA-75222111EC58}" destId="{A52F2029-E38E-472B-BECF-FC43A06B7D74}" srcOrd="0" destOrd="0" presId="urn:microsoft.com/office/officeart/2005/8/layout/orgChart1"/>
    <dgm:cxn modelId="{3BF35F5D-9141-4D61-99E5-42CE266E4E6E}" type="presParOf" srcId="{A52F2029-E38E-472B-BECF-FC43A06B7D74}" destId="{9FFE92B8-C234-4EFF-AF08-E9FA56058E25}" srcOrd="0" destOrd="0" presId="urn:microsoft.com/office/officeart/2005/8/layout/orgChart1"/>
    <dgm:cxn modelId="{DF70939C-9171-474F-B8D3-C12A3AA7DEE7}" type="presParOf" srcId="{A52F2029-E38E-472B-BECF-FC43A06B7D74}" destId="{32BF2AD3-89B4-4167-BB7B-A39F1528829C}" srcOrd="1" destOrd="0" presId="urn:microsoft.com/office/officeart/2005/8/layout/orgChart1"/>
    <dgm:cxn modelId="{6E69AEDB-7773-4669-8946-4884BDABF1C8}" type="presParOf" srcId="{C97E9B76-989A-424B-9AEA-75222111EC58}" destId="{4EC097FB-A0EF-4FAC-9C2C-1660A90D544B}" srcOrd="1" destOrd="0" presId="urn:microsoft.com/office/officeart/2005/8/layout/orgChart1"/>
    <dgm:cxn modelId="{EC0F9DAE-192B-4501-AC33-EC05E660E07D}" type="presParOf" srcId="{C97E9B76-989A-424B-9AEA-75222111EC58}" destId="{A39D31E8-6C30-422A-A573-A38D2050CD8B}" srcOrd="2" destOrd="0" presId="urn:microsoft.com/office/officeart/2005/8/layout/orgChart1"/>
    <dgm:cxn modelId="{608806B6-C55D-4477-BCB8-56CDA2B0F33D}" type="presParOf" srcId="{08E539FC-59C7-414C-A8F3-8E889EB1DDEC}" destId="{B249DC3D-F088-40D1-9A39-88F0083D6083}" srcOrd="4" destOrd="0" presId="urn:microsoft.com/office/officeart/2005/8/layout/orgChart1"/>
    <dgm:cxn modelId="{4F2A8652-6776-495E-B91B-7A7AFDF074C0}" type="presParOf" srcId="{08E539FC-59C7-414C-A8F3-8E889EB1DDEC}" destId="{0384941E-FCAE-4630-9706-243C629CA35F}" srcOrd="5" destOrd="0" presId="urn:microsoft.com/office/officeart/2005/8/layout/orgChart1"/>
    <dgm:cxn modelId="{5A75E757-A804-4557-991D-1476A56B8DEA}" type="presParOf" srcId="{0384941E-FCAE-4630-9706-243C629CA35F}" destId="{64F33B1A-C19C-43CB-8F5B-77ED0EAF4F7C}" srcOrd="0" destOrd="0" presId="urn:microsoft.com/office/officeart/2005/8/layout/orgChart1"/>
    <dgm:cxn modelId="{8DF6555C-2ABE-4F88-8867-32A30885A01E}" type="presParOf" srcId="{64F33B1A-C19C-43CB-8F5B-77ED0EAF4F7C}" destId="{DFC90921-972D-49AB-8070-DFBE72526D55}" srcOrd="0" destOrd="0" presId="urn:microsoft.com/office/officeart/2005/8/layout/orgChart1"/>
    <dgm:cxn modelId="{F24C0481-84D1-4F77-9C16-1C01A0F1B6A1}" type="presParOf" srcId="{64F33B1A-C19C-43CB-8F5B-77ED0EAF4F7C}" destId="{FA65F4B9-371D-4BD4-97C7-C331F5095520}" srcOrd="1" destOrd="0" presId="urn:microsoft.com/office/officeart/2005/8/layout/orgChart1"/>
    <dgm:cxn modelId="{F51C4656-838E-4E97-B6E5-D0A6089BE369}" type="presParOf" srcId="{0384941E-FCAE-4630-9706-243C629CA35F}" destId="{445D68C3-48AC-4AD3-8120-CE365566BF6A}" srcOrd="1" destOrd="0" presId="urn:microsoft.com/office/officeart/2005/8/layout/orgChart1"/>
    <dgm:cxn modelId="{C1368EA9-1F5E-49B8-ADD0-91FA23EA5C09}" type="presParOf" srcId="{0384941E-FCAE-4630-9706-243C629CA35F}" destId="{4AA49819-4AC5-4D53-AC80-67108735AA48}" srcOrd="2" destOrd="0" presId="urn:microsoft.com/office/officeart/2005/8/layout/orgChart1"/>
    <dgm:cxn modelId="{F27D7334-B22A-4381-8D0E-27447DAB96EE}" type="presParOf" srcId="{08E539FC-59C7-414C-A8F3-8E889EB1DDEC}" destId="{B8E50172-12D8-4D78-A9A3-00BA7EAE1C59}" srcOrd="6" destOrd="0" presId="urn:microsoft.com/office/officeart/2005/8/layout/orgChart1"/>
    <dgm:cxn modelId="{9984DB3E-6881-47FF-83FF-B94A2E58291A}" type="presParOf" srcId="{08E539FC-59C7-414C-A8F3-8E889EB1DDEC}" destId="{98367153-0C2D-4178-BEBD-4AC28F4F5522}" srcOrd="7" destOrd="0" presId="urn:microsoft.com/office/officeart/2005/8/layout/orgChart1"/>
    <dgm:cxn modelId="{0957964E-5EA2-41E6-9A99-2BB95B11DE6E}" type="presParOf" srcId="{98367153-0C2D-4178-BEBD-4AC28F4F5522}" destId="{38507A03-4FA9-437E-9BC1-3C629224F56E}" srcOrd="0" destOrd="0" presId="urn:microsoft.com/office/officeart/2005/8/layout/orgChart1"/>
    <dgm:cxn modelId="{0934872C-1F39-4115-8D13-55328E6F3D5C}" type="presParOf" srcId="{38507A03-4FA9-437E-9BC1-3C629224F56E}" destId="{EFC648D2-CD1C-4B2D-98E5-ABF3DED1BDFE}" srcOrd="0" destOrd="0" presId="urn:microsoft.com/office/officeart/2005/8/layout/orgChart1"/>
    <dgm:cxn modelId="{39E542EA-5B08-41CF-8D6D-847DB31DB43C}" type="presParOf" srcId="{38507A03-4FA9-437E-9BC1-3C629224F56E}" destId="{4BEFD702-E1A6-469D-86B7-AA299945D538}" srcOrd="1" destOrd="0" presId="urn:microsoft.com/office/officeart/2005/8/layout/orgChart1"/>
    <dgm:cxn modelId="{FE144BCA-0B4A-414E-A20A-1802F4F5AFFB}" type="presParOf" srcId="{98367153-0C2D-4178-BEBD-4AC28F4F5522}" destId="{43D55E75-C37C-4414-9CC6-01E5DF6577D8}" srcOrd="1" destOrd="0" presId="urn:microsoft.com/office/officeart/2005/8/layout/orgChart1"/>
    <dgm:cxn modelId="{901C1888-B5A4-4623-9531-E754816C9A23}" type="presParOf" srcId="{98367153-0C2D-4178-BEBD-4AC28F4F5522}" destId="{F5C2DBA9-CA55-4787-95A1-C10DBA21ED40}" srcOrd="2" destOrd="0" presId="urn:microsoft.com/office/officeart/2005/8/layout/orgChart1"/>
    <dgm:cxn modelId="{A889AD4A-323E-4929-B6F5-7E25CA2C5647}" type="presParOf" srcId="{08E539FC-59C7-414C-A8F3-8E889EB1DDEC}" destId="{893D2CBC-3A22-49F6-BCC1-FDFA38B17677}" srcOrd="8" destOrd="0" presId="urn:microsoft.com/office/officeart/2005/8/layout/orgChart1"/>
    <dgm:cxn modelId="{F0BFE7A9-7891-4C0D-897C-8E6522B27C1D}" type="presParOf" srcId="{08E539FC-59C7-414C-A8F3-8E889EB1DDEC}" destId="{FB263544-CC1D-4A3B-BCE0-B90EBFA6FE84}" srcOrd="9" destOrd="0" presId="urn:microsoft.com/office/officeart/2005/8/layout/orgChart1"/>
    <dgm:cxn modelId="{2D7FC69B-3642-4061-8D06-4DAD5B4A4859}" type="presParOf" srcId="{FB263544-CC1D-4A3B-BCE0-B90EBFA6FE84}" destId="{A1D45B02-DBAE-4143-A078-68B5F2DCB67A}" srcOrd="0" destOrd="0" presId="urn:microsoft.com/office/officeart/2005/8/layout/orgChart1"/>
    <dgm:cxn modelId="{E3D4DACF-C608-4DEA-B7EB-A4642D9DC62E}" type="presParOf" srcId="{A1D45B02-DBAE-4143-A078-68B5F2DCB67A}" destId="{5BD2E5C2-0AD5-4274-8CE4-160537C945D1}" srcOrd="0" destOrd="0" presId="urn:microsoft.com/office/officeart/2005/8/layout/orgChart1"/>
    <dgm:cxn modelId="{46973318-D147-4D1B-8991-DCB96E3208DD}" type="presParOf" srcId="{A1D45B02-DBAE-4143-A078-68B5F2DCB67A}" destId="{1C88BEDF-A302-430B-A3BB-0F3F2D485664}" srcOrd="1" destOrd="0" presId="urn:microsoft.com/office/officeart/2005/8/layout/orgChart1"/>
    <dgm:cxn modelId="{78C910C5-55A9-4D45-AD15-2A8D556B0F49}" type="presParOf" srcId="{FB263544-CC1D-4A3B-BCE0-B90EBFA6FE84}" destId="{4B08DBAD-0D17-4545-AC83-FE42F93F2609}" srcOrd="1" destOrd="0" presId="urn:microsoft.com/office/officeart/2005/8/layout/orgChart1"/>
    <dgm:cxn modelId="{D8742ABD-ACD1-4B9A-BECB-352F4D327118}" type="presParOf" srcId="{FB263544-CC1D-4A3B-BCE0-B90EBFA6FE84}" destId="{9B67CBA3-41C1-4FDD-B556-AAD4D4529B2F}" srcOrd="2" destOrd="0" presId="urn:microsoft.com/office/officeart/2005/8/layout/orgChart1"/>
    <dgm:cxn modelId="{3FB5D49D-72CC-4E5E-B6AD-8D2CF4C26259}" type="presParOf" srcId="{59892F7A-1435-47D6-98A1-DD42FD37C2B4}" destId="{EF3D1C76-70AE-4B53-BB14-3D41DC161CAB}" srcOrd="2" destOrd="0" presId="urn:microsoft.com/office/officeart/2005/8/layout/orgChart1"/>
    <dgm:cxn modelId="{6701B1A7-FF5C-47E6-8B73-BFAC658FAF45}" type="presParOf" srcId="{C42A5D25-1B37-4E56-9A77-A60CD970D31D}" destId="{9CF917B8-5AC1-4757-A4A1-DBB93A3E9FD4}" srcOrd="4" destOrd="0" presId="urn:microsoft.com/office/officeart/2005/8/layout/orgChart1"/>
    <dgm:cxn modelId="{5E26646D-14E1-4B29-9258-DCB3E80E55FF}" type="presParOf" srcId="{C42A5D25-1B37-4E56-9A77-A60CD970D31D}" destId="{897C57AA-B51A-4CC5-B217-7441527E6541}" srcOrd="5" destOrd="0" presId="urn:microsoft.com/office/officeart/2005/8/layout/orgChart1"/>
    <dgm:cxn modelId="{14CF887B-1A43-4261-90E0-17BB4C18320D}" type="presParOf" srcId="{897C57AA-B51A-4CC5-B217-7441527E6541}" destId="{EEAB5126-8DCF-4C24-ADA7-DB66D96F0815}" srcOrd="0" destOrd="0" presId="urn:microsoft.com/office/officeart/2005/8/layout/orgChart1"/>
    <dgm:cxn modelId="{E6AC74E6-7AEB-47D2-896C-A068FC593705}" type="presParOf" srcId="{EEAB5126-8DCF-4C24-ADA7-DB66D96F0815}" destId="{110D6C80-F22F-4C8F-925D-C49321B21C0F}" srcOrd="0" destOrd="0" presId="urn:microsoft.com/office/officeart/2005/8/layout/orgChart1"/>
    <dgm:cxn modelId="{C6FFD2BF-7719-4169-B63C-4EE9A137A35F}" type="presParOf" srcId="{EEAB5126-8DCF-4C24-ADA7-DB66D96F0815}" destId="{01225131-3092-49EE-A787-F45BCEDC7F80}" srcOrd="1" destOrd="0" presId="urn:microsoft.com/office/officeart/2005/8/layout/orgChart1"/>
    <dgm:cxn modelId="{BC7650D1-E0F0-4094-BBB1-629CCC682ED0}" type="presParOf" srcId="{897C57AA-B51A-4CC5-B217-7441527E6541}" destId="{ACF57DDB-6035-411D-8614-D638AE9BC6CD}" srcOrd="1" destOrd="0" presId="urn:microsoft.com/office/officeart/2005/8/layout/orgChart1"/>
    <dgm:cxn modelId="{E179EDEE-E0B4-48A9-9526-C3B2A5E4B2A5}" type="presParOf" srcId="{ACF57DDB-6035-411D-8614-D638AE9BC6CD}" destId="{1C9E5F7E-5B78-4D19-ABDB-1C4686E4009C}" srcOrd="0" destOrd="0" presId="urn:microsoft.com/office/officeart/2005/8/layout/orgChart1"/>
    <dgm:cxn modelId="{EA4454C5-AA4B-4C69-8673-AEC8A931B122}" type="presParOf" srcId="{ACF57DDB-6035-411D-8614-D638AE9BC6CD}" destId="{2BA10DB4-A9EC-46D1-9687-713ADEB14255}" srcOrd="1" destOrd="0" presId="urn:microsoft.com/office/officeart/2005/8/layout/orgChart1"/>
    <dgm:cxn modelId="{00CC6E5E-266D-4A07-8DAA-0DDB1B5673A0}" type="presParOf" srcId="{2BA10DB4-A9EC-46D1-9687-713ADEB14255}" destId="{38A898D6-1901-491D-B245-AFF007EE15C9}" srcOrd="0" destOrd="0" presId="urn:microsoft.com/office/officeart/2005/8/layout/orgChart1"/>
    <dgm:cxn modelId="{B624EEFC-C429-4D48-B861-8864689ECFE8}" type="presParOf" srcId="{38A898D6-1901-491D-B245-AFF007EE15C9}" destId="{A72E9433-397F-4626-81ED-EB4B6DD59303}" srcOrd="0" destOrd="0" presId="urn:microsoft.com/office/officeart/2005/8/layout/orgChart1"/>
    <dgm:cxn modelId="{CA20EFF4-160C-4D45-81E7-7F7A739E4A49}" type="presParOf" srcId="{38A898D6-1901-491D-B245-AFF007EE15C9}" destId="{997069C9-B091-4EBF-86F9-29337630F856}" srcOrd="1" destOrd="0" presId="urn:microsoft.com/office/officeart/2005/8/layout/orgChart1"/>
    <dgm:cxn modelId="{D9C4F74B-6F40-4B52-9BEC-1E1F32943D97}" type="presParOf" srcId="{2BA10DB4-A9EC-46D1-9687-713ADEB14255}" destId="{8F8F9F9D-02CD-4DF9-91D7-8F7C6E4613A9}" srcOrd="1" destOrd="0" presId="urn:microsoft.com/office/officeart/2005/8/layout/orgChart1"/>
    <dgm:cxn modelId="{43EAB85D-A6C6-468D-8A73-F6ADD6E672CC}" type="presParOf" srcId="{2BA10DB4-A9EC-46D1-9687-713ADEB14255}" destId="{33995AB4-8C0C-417F-A0AE-501D791A6419}" srcOrd="2" destOrd="0" presId="urn:microsoft.com/office/officeart/2005/8/layout/orgChart1"/>
    <dgm:cxn modelId="{4C13B1E5-B5CC-443C-8B64-F44C751D2BEA}" type="presParOf" srcId="{ACF57DDB-6035-411D-8614-D638AE9BC6CD}" destId="{9F5A593D-B155-456B-B526-61EE4C6B878A}" srcOrd="2" destOrd="0" presId="urn:microsoft.com/office/officeart/2005/8/layout/orgChart1"/>
    <dgm:cxn modelId="{43F0C996-0FD4-4729-9363-73422F46A9B9}" type="presParOf" srcId="{ACF57DDB-6035-411D-8614-D638AE9BC6CD}" destId="{5F73857B-9122-4787-B00B-B524498DB8ED}" srcOrd="3" destOrd="0" presId="urn:microsoft.com/office/officeart/2005/8/layout/orgChart1"/>
    <dgm:cxn modelId="{BF91DA15-98EA-43BE-9DBB-563ED652093E}" type="presParOf" srcId="{5F73857B-9122-4787-B00B-B524498DB8ED}" destId="{75B1830B-1DC1-426B-84B0-554BD82CA921}" srcOrd="0" destOrd="0" presId="urn:microsoft.com/office/officeart/2005/8/layout/orgChart1"/>
    <dgm:cxn modelId="{52832380-08EE-44CF-A2BD-E79891604C8C}" type="presParOf" srcId="{75B1830B-1DC1-426B-84B0-554BD82CA921}" destId="{BBD7AB97-C2B8-4E43-8F05-8D747B2098AE}" srcOrd="0" destOrd="0" presId="urn:microsoft.com/office/officeart/2005/8/layout/orgChart1"/>
    <dgm:cxn modelId="{131D5E72-13AD-42AD-A885-66DE6A9622B1}" type="presParOf" srcId="{75B1830B-1DC1-426B-84B0-554BD82CA921}" destId="{9DEE79EC-3900-4631-B60A-6D5C3B31C9BD}" srcOrd="1" destOrd="0" presId="urn:microsoft.com/office/officeart/2005/8/layout/orgChart1"/>
    <dgm:cxn modelId="{C827CDC3-CFDA-4EF6-99AD-206E324DED4F}" type="presParOf" srcId="{5F73857B-9122-4787-B00B-B524498DB8ED}" destId="{2E56CA76-5CD9-4207-BFA7-FEBEAE88886F}" srcOrd="1" destOrd="0" presId="urn:microsoft.com/office/officeart/2005/8/layout/orgChart1"/>
    <dgm:cxn modelId="{DFFB1CF7-7FC1-424D-AACC-C5DB538F9605}" type="presParOf" srcId="{5F73857B-9122-4787-B00B-B524498DB8ED}" destId="{06312F46-02C5-4FA8-9DB2-C46DEDC23577}" srcOrd="2" destOrd="0" presId="urn:microsoft.com/office/officeart/2005/8/layout/orgChart1"/>
    <dgm:cxn modelId="{A551A509-A6F9-4D01-9CD0-9892177204A3}" type="presParOf" srcId="{ACF57DDB-6035-411D-8614-D638AE9BC6CD}" destId="{84B4AC10-EC5E-41C0-8E39-AF65CCFDE4F9}" srcOrd="4" destOrd="0" presId="urn:microsoft.com/office/officeart/2005/8/layout/orgChart1"/>
    <dgm:cxn modelId="{E4C7959D-6EDC-41DF-8552-0700D8D159D8}" type="presParOf" srcId="{ACF57DDB-6035-411D-8614-D638AE9BC6CD}" destId="{A84A9D45-4261-4DE7-8BB3-8F7B1B19FBCB}" srcOrd="5" destOrd="0" presId="urn:microsoft.com/office/officeart/2005/8/layout/orgChart1"/>
    <dgm:cxn modelId="{07AB8BED-0538-4B00-80EA-D079C4500997}" type="presParOf" srcId="{A84A9D45-4261-4DE7-8BB3-8F7B1B19FBCB}" destId="{885223CB-20CA-41CE-B844-F74F144A6F8A}" srcOrd="0" destOrd="0" presId="urn:microsoft.com/office/officeart/2005/8/layout/orgChart1"/>
    <dgm:cxn modelId="{F470EB4D-0734-4D5A-AA5B-30AA83017394}" type="presParOf" srcId="{885223CB-20CA-41CE-B844-F74F144A6F8A}" destId="{6713B7F8-D640-4C1F-824D-06AD463F5A82}" srcOrd="0" destOrd="0" presId="urn:microsoft.com/office/officeart/2005/8/layout/orgChart1"/>
    <dgm:cxn modelId="{40D23F04-2C1A-4643-94DD-FCFB11C14070}" type="presParOf" srcId="{885223CB-20CA-41CE-B844-F74F144A6F8A}" destId="{CA20F791-035E-4799-9609-5731B779B92D}" srcOrd="1" destOrd="0" presId="urn:microsoft.com/office/officeart/2005/8/layout/orgChart1"/>
    <dgm:cxn modelId="{B714DBD1-6FAA-4EA2-AC9C-6BDDBA57AB98}" type="presParOf" srcId="{A84A9D45-4261-4DE7-8BB3-8F7B1B19FBCB}" destId="{D4AE0951-247F-4D3D-92ED-F5B6A2FEEC87}" srcOrd="1" destOrd="0" presId="urn:microsoft.com/office/officeart/2005/8/layout/orgChart1"/>
    <dgm:cxn modelId="{3C3C562A-FA2D-4547-A7B0-2694AC879478}" type="presParOf" srcId="{A84A9D45-4261-4DE7-8BB3-8F7B1B19FBCB}" destId="{029564D8-1A69-4BBF-A71F-EE4135215F91}" srcOrd="2" destOrd="0" presId="urn:microsoft.com/office/officeart/2005/8/layout/orgChart1"/>
    <dgm:cxn modelId="{29790D10-F05C-4BA4-AB27-892DF4A5AF71}" type="presParOf" srcId="{ACF57DDB-6035-411D-8614-D638AE9BC6CD}" destId="{2490ACB9-FE2B-4D8B-8B89-9573E0ACF029}" srcOrd="6" destOrd="0" presId="urn:microsoft.com/office/officeart/2005/8/layout/orgChart1"/>
    <dgm:cxn modelId="{10A185AA-01CF-4685-85C3-068D279CFC47}" type="presParOf" srcId="{ACF57DDB-6035-411D-8614-D638AE9BC6CD}" destId="{04D04F55-D61C-4874-A09F-1D15B9C0966A}" srcOrd="7" destOrd="0" presId="urn:microsoft.com/office/officeart/2005/8/layout/orgChart1"/>
    <dgm:cxn modelId="{919E2E77-8B1A-4075-813B-3CE9CE358CE1}" type="presParOf" srcId="{04D04F55-D61C-4874-A09F-1D15B9C0966A}" destId="{F1E2F2EA-392C-449D-BA74-4E4C4017A054}" srcOrd="0" destOrd="0" presId="urn:microsoft.com/office/officeart/2005/8/layout/orgChart1"/>
    <dgm:cxn modelId="{44F46B06-DABD-4B2F-91AB-6AE8D130D97A}" type="presParOf" srcId="{F1E2F2EA-392C-449D-BA74-4E4C4017A054}" destId="{FBE1CD44-1476-4DCA-9852-1D3F3D3EEAF8}" srcOrd="0" destOrd="0" presId="urn:microsoft.com/office/officeart/2005/8/layout/orgChart1"/>
    <dgm:cxn modelId="{163D41E0-EC38-450B-B91A-BB23CB09C50A}" type="presParOf" srcId="{F1E2F2EA-392C-449D-BA74-4E4C4017A054}" destId="{E680A272-47D5-4A33-B04B-444D01DD6D63}" srcOrd="1" destOrd="0" presId="urn:microsoft.com/office/officeart/2005/8/layout/orgChart1"/>
    <dgm:cxn modelId="{D423006A-1412-4445-B8E1-9366AFC4CC95}" type="presParOf" srcId="{04D04F55-D61C-4874-A09F-1D15B9C0966A}" destId="{FC220C79-C826-4823-BBD6-A46D8C1E2099}" srcOrd="1" destOrd="0" presId="urn:microsoft.com/office/officeart/2005/8/layout/orgChart1"/>
    <dgm:cxn modelId="{580C289B-4646-4D77-A837-73F9CE0FB934}" type="presParOf" srcId="{04D04F55-D61C-4874-A09F-1D15B9C0966A}" destId="{5044086D-95CD-449D-8DCC-4947B5FB26F2}" srcOrd="2" destOrd="0" presId="urn:microsoft.com/office/officeart/2005/8/layout/orgChart1"/>
    <dgm:cxn modelId="{4D610424-12DF-40C5-9D0F-E199F3EBE23F}" type="presParOf" srcId="{ACF57DDB-6035-411D-8614-D638AE9BC6CD}" destId="{C547368A-8A16-4C28-AF0C-945FC074320D}" srcOrd="8" destOrd="0" presId="urn:microsoft.com/office/officeart/2005/8/layout/orgChart1"/>
    <dgm:cxn modelId="{35B7EA75-8327-4EFB-825A-E28B7EB25F87}" type="presParOf" srcId="{ACF57DDB-6035-411D-8614-D638AE9BC6CD}" destId="{BFB872EE-9942-422C-B7BE-1D8029193900}" srcOrd="9" destOrd="0" presId="urn:microsoft.com/office/officeart/2005/8/layout/orgChart1"/>
    <dgm:cxn modelId="{6D960010-71B7-48D7-B375-DD6313B75EDB}" type="presParOf" srcId="{BFB872EE-9942-422C-B7BE-1D8029193900}" destId="{E76E7C8C-CC7F-414C-8F68-3CBB5C87243E}" srcOrd="0" destOrd="0" presId="urn:microsoft.com/office/officeart/2005/8/layout/orgChart1"/>
    <dgm:cxn modelId="{7A873387-8B5D-4209-8A49-B3A041DE5FE4}" type="presParOf" srcId="{E76E7C8C-CC7F-414C-8F68-3CBB5C87243E}" destId="{C7807037-965F-4BEB-A98A-80017D0E22B4}" srcOrd="0" destOrd="0" presId="urn:microsoft.com/office/officeart/2005/8/layout/orgChart1"/>
    <dgm:cxn modelId="{1A292A0C-EC2D-4EBF-9CEC-13275F73C203}" type="presParOf" srcId="{E76E7C8C-CC7F-414C-8F68-3CBB5C87243E}" destId="{C0E21446-E311-4DB4-ACFE-35B1F2802A83}" srcOrd="1" destOrd="0" presId="urn:microsoft.com/office/officeart/2005/8/layout/orgChart1"/>
    <dgm:cxn modelId="{E868E115-B254-4566-8970-138A87B47AA2}" type="presParOf" srcId="{BFB872EE-9942-422C-B7BE-1D8029193900}" destId="{9BAADD4C-D5F1-4793-9C17-6B5C91EBBD2A}" srcOrd="1" destOrd="0" presId="urn:microsoft.com/office/officeart/2005/8/layout/orgChart1"/>
    <dgm:cxn modelId="{53E503F0-C59A-4597-BAFA-0410CA4165F3}" type="presParOf" srcId="{BFB872EE-9942-422C-B7BE-1D8029193900}" destId="{55129D6A-3FAA-4634-899F-258138A0F42A}" srcOrd="2" destOrd="0" presId="urn:microsoft.com/office/officeart/2005/8/layout/orgChart1"/>
    <dgm:cxn modelId="{982BCBED-E4D8-46A6-AD2F-F5BEC433977E}" type="presParOf" srcId="{ACF57DDB-6035-411D-8614-D638AE9BC6CD}" destId="{53641377-50E9-41AF-B3B7-328461593624}" srcOrd="10" destOrd="0" presId="urn:microsoft.com/office/officeart/2005/8/layout/orgChart1"/>
    <dgm:cxn modelId="{FEEBB6D0-7947-4E88-804C-F5CD895E58F8}" type="presParOf" srcId="{ACF57DDB-6035-411D-8614-D638AE9BC6CD}" destId="{BA37548F-759E-4A27-BC9F-0A11E80BAAEB}" srcOrd="11" destOrd="0" presId="urn:microsoft.com/office/officeart/2005/8/layout/orgChart1"/>
    <dgm:cxn modelId="{E12ED632-A59A-422D-8366-75CAF3693B3D}" type="presParOf" srcId="{BA37548F-759E-4A27-BC9F-0A11E80BAAEB}" destId="{B43770CB-FCDF-4AC0-AF85-084B17F9DC8C}" srcOrd="0" destOrd="0" presId="urn:microsoft.com/office/officeart/2005/8/layout/orgChart1"/>
    <dgm:cxn modelId="{B7ED0388-3E70-4FCE-9C08-6761A806248C}" type="presParOf" srcId="{B43770CB-FCDF-4AC0-AF85-084B17F9DC8C}" destId="{7E42CC19-9267-47C1-9D6D-1562521E402C}" srcOrd="0" destOrd="0" presId="urn:microsoft.com/office/officeart/2005/8/layout/orgChart1"/>
    <dgm:cxn modelId="{C3A5F976-51DD-4B99-A4EA-6C544FF25493}" type="presParOf" srcId="{B43770CB-FCDF-4AC0-AF85-084B17F9DC8C}" destId="{19ABE060-227C-4D52-85EC-D719DA900187}" srcOrd="1" destOrd="0" presId="urn:microsoft.com/office/officeart/2005/8/layout/orgChart1"/>
    <dgm:cxn modelId="{666131BD-52D0-4BB4-B2F6-8C14B9FB0EF7}" type="presParOf" srcId="{BA37548F-759E-4A27-BC9F-0A11E80BAAEB}" destId="{2DA7A841-077E-4027-9BDF-BFFCC82ED37D}" srcOrd="1" destOrd="0" presId="urn:microsoft.com/office/officeart/2005/8/layout/orgChart1"/>
    <dgm:cxn modelId="{46A29B24-BB7A-407E-BE1E-6E61CE8437AA}" type="presParOf" srcId="{BA37548F-759E-4A27-BC9F-0A11E80BAAEB}" destId="{E5F3A827-1C33-4368-9145-F01CC01BFBBC}" srcOrd="2" destOrd="0" presId="urn:microsoft.com/office/officeart/2005/8/layout/orgChart1"/>
    <dgm:cxn modelId="{7DDA7CD3-E58B-479B-A39C-350C6231EEA2}" type="presParOf" srcId="{ACF57DDB-6035-411D-8614-D638AE9BC6CD}" destId="{EF45F557-662E-4E21-AFCF-5609D3AF5F73}" srcOrd="12" destOrd="0" presId="urn:microsoft.com/office/officeart/2005/8/layout/orgChart1"/>
    <dgm:cxn modelId="{A5DEAA15-2B59-4BA8-8551-43B288DAFA17}" type="presParOf" srcId="{ACF57DDB-6035-411D-8614-D638AE9BC6CD}" destId="{7394447E-832B-4CC4-9D05-E8AFB27CE093}" srcOrd="13" destOrd="0" presId="urn:microsoft.com/office/officeart/2005/8/layout/orgChart1"/>
    <dgm:cxn modelId="{E4D7F8E7-47ED-45E2-BEC1-E9109DC21125}" type="presParOf" srcId="{7394447E-832B-4CC4-9D05-E8AFB27CE093}" destId="{DFE3E550-AB12-417F-90DC-14486D4645D8}" srcOrd="0" destOrd="0" presId="urn:microsoft.com/office/officeart/2005/8/layout/orgChart1"/>
    <dgm:cxn modelId="{C5896552-1EED-4928-A22A-807C16109B61}" type="presParOf" srcId="{DFE3E550-AB12-417F-90DC-14486D4645D8}" destId="{9CC4A7A3-F103-461E-BECB-51762CCD582C}" srcOrd="0" destOrd="0" presId="urn:microsoft.com/office/officeart/2005/8/layout/orgChart1"/>
    <dgm:cxn modelId="{FE909CA3-E5DF-42BE-9B92-AD1E0AD4A7CB}" type="presParOf" srcId="{DFE3E550-AB12-417F-90DC-14486D4645D8}" destId="{0DE36EB4-5DE8-4BA7-B453-AC26352AE486}" srcOrd="1" destOrd="0" presId="urn:microsoft.com/office/officeart/2005/8/layout/orgChart1"/>
    <dgm:cxn modelId="{42AC442D-BEA4-471A-BAA0-DF3B710D9577}" type="presParOf" srcId="{7394447E-832B-4CC4-9D05-E8AFB27CE093}" destId="{08EC4C56-588B-4F48-A434-7B52B30908C2}" srcOrd="1" destOrd="0" presId="urn:microsoft.com/office/officeart/2005/8/layout/orgChart1"/>
    <dgm:cxn modelId="{BB6EB7B5-136F-4A9E-A256-BECDBA1A3A4B}" type="presParOf" srcId="{7394447E-832B-4CC4-9D05-E8AFB27CE093}" destId="{D93346E2-46DB-41CD-88E1-E6BE4C5D683C}" srcOrd="2" destOrd="0" presId="urn:microsoft.com/office/officeart/2005/8/layout/orgChart1"/>
    <dgm:cxn modelId="{D3AFC78F-A9A3-4EB2-88DE-9F1D3CC19F43}" type="presParOf" srcId="{897C57AA-B51A-4CC5-B217-7441527E6541}" destId="{850C03C7-1AB1-427D-922A-41131BB127B5}" srcOrd="2" destOrd="0" presId="urn:microsoft.com/office/officeart/2005/8/layout/orgChart1"/>
    <dgm:cxn modelId="{42793190-D730-4B0F-92F0-BEF31676FCBC}" type="presParOf" srcId="{B6AAB4B1-B22B-4F38-B6DC-05A95E4C3F64}" destId="{EEDB8CF7-FB49-455C-8113-DA75F4205A8E}"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45F557-662E-4E21-AFCF-5609D3AF5F73}">
      <dsp:nvSpPr>
        <dsp:cNvPr id="0" name=""/>
        <dsp:cNvSpPr/>
      </dsp:nvSpPr>
      <dsp:spPr>
        <a:xfrm>
          <a:off x="6513990" y="1239889"/>
          <a:ext cx="107450" cy="2650445"/>
        </a:xfrm>
        <a:custGeom>
          <a:avLst/>
          <a:gdLst/>
          <a:ahLst/>
          <a:cxnLst/>
          <a:rect l="0" t="0" r="0" b="0"/>
          <a:pathLst>
            <a:path>
              <a:moveTo>
                <a:pt x="107450" y="0"/>
              </a:moveTo>
              <a:lnTo>
                <a:pt x="107450" y="2650445"/>
              </a:lnTo>
              <a:lnTo>
                <a:pt x="0" y="265044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3641377-50E9-41AF-B3B7-328461593624}">
      <dsp:nvSpPr>
        <dsp:cNvPr id="0" name=""/>
        <dsp:cNvSpPr/>
      </dsp:nvSpPr>
      <dsp:spPr>
        <a:xfrm>
          <a:off x="6621440" y="1239889"/>
          <a:ext cx="107450" cy="1923875"/>
        </a:xfrm>
        <a:custGeom>
          <a:avLst/>
          <a:gdLst/>
          <a:ahLst/>
          <a:cxnLst/>
          <a:rect l="0" t="0" r="0" b="0"/>
          <a:pathLst>
            <a:path>
              <a:moveTo>
                <a:pt x="0" y="0"/>
              </a:moveTo>
              <a:lnTo>
                <a:pt x="0" y="1923875"/>
              </a:lnTo>
              <a:lnTo>
                <a:pt x="107450" y="192387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547368A-8A16-4C28-AF0C-945FC074320D}">
      <dsp:nvSpPr>
        <dsp:cNvPr id="0" name=""/>
        <dsp:cNvSpPr/>
      </dsp:nvSpPr>
      <dsp:spPr>
        <a:xfrm>
          <a:off x="6513990" y="1239889"/>
          <a:ext cx="107450" cy="1923875"/>
        </a:xfrm>
        <a:custGeom>
          <a:avLst/>
          <a:gdLst/>
          <a:ahLst/>
          <a:cxnLst/>
          <a:rect l="0" t="0" r="0" b="0"/>
          <a:pathLst>
            <a:path>
              <a:moveTo>
                <a:pt x="107450" y="0"/>
              </a:moveTo>
              <a:lnTo>
                <a:pt x="107450" y="1923875"/>
              </a:lnTo>
              <a:lnTo>
                <a:pt x="0" y="192387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490ACB9-FE2B-4D8B-8B89-9573E0ACF029}">
      <dsp:nvSpPr>
        <dsp:cNvPr id="0" name=""/>
        <dsp:cNvSpPr/>
      </dsp:nvSpPr>
      <dsp:spPr>
        <a:xfrm>
          <a:off x="6621440" y="1239889"/>
          <a:ext cx="107450" cy="1197305"/>
        </a:xfrm>
        <a:custGeom>
          <a:avLst/>
          <a:gdLst/>
          <a:ahLst/>
          <a:cxnLst/>
          <a:rect l="0" t="0" r="0" b="0"/>
          <a:pathLst>
            <a:path>
              <a:moveTo>
                <a:pt x="0" y="0"/>
              </a:moveTo>
              <a:lnTo>
                <a:pt x="0" y="1197305"/>
              </a:lnTo>
              <a:lnTo>
                <a:pt x="107450" y="119730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B4AC10-EC5E-41C0-8E39-AF65CCFDE4F9}">
      <dsp:nvSpPr>
        <dsp:cNvPr id="0" name=""/>
        <dsp:cNvSpPr/>
      </dsp:nvSpPr>
      <dsp:spPr>
        <a:xfrm>
          <a:off x="6513990" y="1239889"/>
          <a:ext cx="107450" cy="1197305"/>
        </a:xfrm>
        <a:custGeom>
          <a:avLst/>
          <a:gdLst/>
          <a:ahLst/>
          <a:cxnLst/>
          <a:rect l="0" t="0" r="0" b="0"/>
          <a:pathLst>
            <a:path>
              <a:moveTo>
                <a:pt x="107450" y="0"/>
              </a:moveTo>
              <a:lnTo>
                <a:pt x="107450" y="1197305"/>
              </a:lnTo>
              <a:lnTo>
                <a:pt x="0" y="119730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5A593D-B155-456B-B526-61EE4C6B878A}">
      <dsp:nvSpPr>
        <dsp:cNvPr id="0" name=""/>
        <dsp:cNvSpPr/>
      </dsp:nvSpPr>
      <dsp:spPr>
        <a:xfrm>
          <a:off x="6621440" y="1239889"/>
          <a:ext cx="107450" cy="470735"/>
        </a:xfrm>
        <a:custGeom>
          <a:avLst/>
          <a:gdLst/>
          <a:ahLst/>
          <a:cxnLst/>
          <a:rect l="0" t="0" r="0" b="0"/>
          <a:pathLst>
            <a:path>
              <a:moveTo>
                <a:pt x="0" y="0"/>
              </a:moveTo>
              <a:lnTo>
                <a:pt x="0" y="470735"/>
              </a:lnTo>
              <a:lnTo>
                <a:pt x="107450" y="47073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C9E5F7E-5B78-4D19-ABDB-1C4686E4009C}">
      <dsp:nvSpPr>
        <dsp:cNvPr id="0" name=""/>
        <dsp:cNvSpPr/>
      </dsp:nvSpPr>
      <dsp:spPr>
        <a:xfrm>
          <a:off x="6513990" y="1239889"/>
          <a:ext cx="107450" cy="470735"/>
        </a:xfrm>
        <a:custGeom>
          <a:avLst/>
          <a:gdLst/>
          <a:ahLst/>
          <a:cxnLst/>
          <a:rect l="0" t="0" r="0" b="0"/>
          <a:pathLst>
            <a:path>
              <a:moveTo>
                <a:pt x="107450" y="0"/>
              </a:moveTo>
              <a:lnTo>
                <a:pt x="107450" y="470735"/>
              </a:lnTo>
              <a:lnTo>
                <a:pt x="0" y="47073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CF917B8-5AC1-4757-A4A1-DBB93A3E9FD4}">
      <dsp:nvSpPr>
        <dsp:cNvPr id="0" name=""/>
        <dsp:cNvSpPr/>
      </dsp:nvSpPr>
      <dsp:spPr>
        <a:xfrm>
          <a:off x="4144962" y="513319"/>
          <a:ext cx="2476478" cy="214901"/>
        </a:xfrm>
        <a:custGeom>
          <a:avLst/>
          <a:gdLst/>
          <a:ahLst/>
          <a:cxnLst/>
          <a:rect l="0" t="0" r="0" b="0"/>
          <a:pathLst>
            <a:path>
              <a:moveTo>
                <a:pt x="0" y="0"/>
              </a:moveTo>
              <a:lnTo>
                <a:pt x="0" y="107450"/>
              </a:lnTo>
              <a:lnTo>
                <a:pt x="2476478" y="107450"/>
              </a:lnTo>
              <a:lnTo>
                <a:pt x="2476478" y="21490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93D2CBC-3A22-49F6-BCC1-FDFA38B17677}">
      <dsp:nvSpPr>
        <dsp:cNvPr id="0" name=""/>
        <dsp:cNvSpPr/>
      </dsp:nvSpPr>
      <dsp:spPr>
        <a:xfrm>
          <a:off x="4037511" y="1239889"/>
          <a:ext cx="107450" cy="1923875"/>
        </a:xfrm>
        <a:custGeom>
          <a:avLst/>
          <a:gdLst/>
          <a:ahLst/>
          <a:cxnLst/>
          <a:rect l="0" t="0" r="0" b="0"/>
          <a:pathLst>
            <a:path>
              <a:moveTo>
                <a:pt x="107450" y="0"/>
              </a:moveTo>
              <a:lnTo>
                <a:pt x="107450" y="1923875"/>
              </a:lnTo>
              <a:lnTo>
                <a:pt x="0" y="192387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8E50172-12D8-4D78-A9A3-00BA7EAE1C59}">
      <dsp:nvSpPr>
        <dsp:cNvPr id="0" name=""/>
        <dsp:cNvSpPr/>
      </dsp:nvSpPr>
      <dsp:spPr>
        <a:xfrm>
          <a:off x="4144962" y="1239889"/>
          <a:ext cx="107450" cy="1197305"/>
        </a:xfrm>
        <a:custGeom>
          <a:avLst/>
          <a:gdLst/>
          <a:ahLst/>
          <a:cxnLst/>
          <a:rect l="0" t="0" r="0" b="0"/>
          <a:pathLst>
            <a:path>
              <a:moveTo>
                <a:pt x="0" y="0"/>
              </a:moveTo>
              <a:lnTo>
                <a:pt x="0" y="1197305"/>
              </a:lnTo>
              <a:lnTo>
                <a:pt x="107450" y="119730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249DC3D-F088-40D1-9A39-88F0083D6083}">
      <dsp:nvSpPr>
        <dsp:cNvPr id="0" name=""/>
        <dsp:cNvSpPr/>
      </dsp:nvSpPr>
      <dsp:spPr>
        <a:xfrm>
          <a:off x="4037511" y="1239889"/>
          <a:ext cx="107450" cy="1197305"/>
        </a:xfrm>
        <a:custGeom>
          <a:avLst/>
          <a:gdLst/>
          <a:ahLst/>
          <a:cxnLst/>
          <a:rect l="0" t="0" r="0" b="0"/>
          <a:pathLst>
            <a:path>
              <a:moveTo>
                <a:pt x="107450" y="0"/>
              </a:moveTo>
              <a:lnTo>
                <a:pt x="107450" y="1197305"/>
              </a:lnTo>
              <a:lnTo>
                <a:pt x="0" y="119730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1868F6A-7F05-422C-AAA0-B8EA82FFA102}">
      <dsp:nvSpPr>
        <dsp:cNvPr id="0" name=""/>
        <dsp:cNvSpPr/>
      </dsp:nvSpPr>
      <dsp:spPr>
        <a:xfrm>
          <a:off x="4144962" y="1239889"/>
          <a:ext cx="107450" cy="470735"/>
        </a:xfrm>
        <a:custGeom>
          <a:avLst/>
          <a:gdLst/>
          <a:ahLst/>
          <a:cxnLst/>
          <a:rect l="0" t="0" r="0" b="0"/>
          <a:pathLst>
            <a:path>
              <a:moveTo>
                <a:pt x="0" y="0"/>
              </a:moveTo>
              <a:lnTo>
                <a:pt x="0" y="470735"/>
              </a:lnTo>
              <a:lnTo>
                <a:pt x="107450" y="47073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BCF045E-1EAD-46C4-9498-29A770D13FF2}">
      <dsp:nvSpPr>
        <dsp:cNvPr id="0" name=""/>
        <dsp:cNvSpPr/>
      </dsp:nvSpPr>
      <dsp:spPr>
        <a:xfrm>
          <a:off x="4037511" y="1239889"/>
          <a:ext cx="107450" cy="470735"/>
        </a:xfrm>
        <a:custGeom>
          <a:avLst/>
          <a:gdLst/>
          <a:ahLst/>
          <a:cxnLst/>
          <a:rect l="0" t="0" r="0" b="0"/>
          <a:pathLst>
            <a:path>
              <a:moveTo>
                <a:pt x="107450" y="0"/>
              </a:moveTo>
              <a:lnTo>
                <a:pt x="107450" y="470735"/>
              </a:lnTo>
              <a:lnTo>
                <a:pt x="0" y="47073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D50D97B-176F-4155-AC45-396503770B23}">
      <dsp:nvSpPr>
        <dsp:cNvPr id="0" name=""/>
        <dsp:cNvSpPr/>
      </dsp:nvSpPr>
      <dsp:spPr>
        <a:xfrm>
          <a:off x="4099242" y="513319"/>
          <a:ext cx="91440" cy="214901"/>
        </a:xfrm>
        <a:custGeom>
          <a:avLst/>
          <a:gdLst/>
          <a:ahLst/>
          <a:cxnLst/>
          <a:rect l="0" t="0" r="0" b="0"/>
          <a:pathLst>
            <a:path>
              <a:moveTo>
                <a:pt x="45720" y="0"/>
              </a:moveTo>
              <a:lnTo>
                <a:pt x="45720" y="21490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4377C55-995D-432D-BFA1-D1DC1C749252}">
      <dsp:nvSpPr>
        <dsp:cNvPr id="0" name=""/>
        <dsp:cNvSpPr/>
      </dsp:nvSpPr>
      <dsp:spPr>
        <a:xfrm>
          <a:off x="1561033" y="1239889"/>
          <a:ext cx="107450" cy="1197305"/>
        </a:xfrm>
        <a:custGeom>
          <a:avLst/>
          <a:gdLst/>
          <a:ahLst/>
          <a:cxnLst/>
          <a:rect l="0" t="0" r="0" b="0"/>
          <a:pathLst>
            <a:path>
              <a:moveTo>
                <a:pt x="107450" y="0"/>
              </a:moveTo>
              <a:lnTo>
                <a:pt x="107450" y="1197305"/>
              </a:lnTo>
              <a:lnTo>
                <a:pt x="0" y="119730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4D76FAE-CCF3-4583-9362-300A7869362F}">
      <dsp:nvSpPr>
        <dsp:cNvPr id="0" name=""/>
        <dsp:cNvSpPr/>
      </dsp:nvSpPr>
      <dsp:spPr>
        <a:xfrm>
          <a:off x="1668484" y="1239889"/>
          <a:ext cx="107450" cy="470735"/>
        </a:xfrm>
        <a:custGeom>
          <a:avLst/>
          <a:gdLst/>
          <a:ahLst/>
          <a:cxnLst/>
          <a:rect l="0" t="0" r="0" b="0"/>
          <a:pathLst>
            <a:path>
              <a:moveTo>
                <a:pt x="0" y="0"/>
              </a:moveTo>
              <a:lnTo>
                <a:pt x="0" y="470735"/>
              </a:lnTo>
              <a:lnTo>
                <a:pt x="107450" y="47073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FE36392-4E49-4F79-9F72-B2AC552F4EC3}">
      <dsp:nvSpPr>
        <dsp:cNvPr id="0" name=""/>
        <dsp:cNvSpPr/>
      </dsp:nvSpPr>
      <dsp:spPr>
        <a:xfrm>
          <a:off x="1561033" y="1239889"/>
          <a:ext cx="107450" cy="470735"/>
        </a:xfrm>
        <a:custGeom>
          <a:avLst/>
          <a:gdLst/>
          <a:ahLst/>
          <a:cxnLst/>
          <a:rect l="0" t="0" r="0" b="0"/>
          <a:pathLst>
            <a:path>
              <a:moveTo>
                <a:pt x="107450" y="0"/>
              </a:moveTo>
              <a:lnTo>
                <a:pt x="107450" y="470735"/>
              </a:lnTo>
              <a:lnTo>
                <a:pt x="0" y="47073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C95C2E-7C8C-41AB-BD30-96B9BB2F87E1}">
      <dsp:nvSpPr>
        <dsp:cNvPr id="0" name=""/>
        <dsp:cNvSpPr/>
      </dsp:nvSpPr>
      <dsp:spPr>
        <a:xfrm>
          <a:off x="1668484" y="513319"/>
          <a:ext cx="2476478" cy="214901"/>
        </a:xfrm>
        <a:custGeom>
          <a:avLst/>
          <a:gdLst/>
          <a:ahLst/>
          <a:cxnLst/>
          <a:rect l="0" t="0" r="0" b="0"/>
          <a:pathLst>
            <a:path>
              <a:moveTo>
                <a:pt x="2476478" y="0"/>
              </a:moveTo>
              <a:lnTo>
                <a:pt x="2476478" y="107450"/>
              </a:lnTo>
              <a:lnTo>
                <a:pt x="0" y="107450"/>
              </a:lnTo>
              <a:lnTo>
                <a:pt x="0" y="21490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F3CF448-95D5-4D79-AC8C-577426551066}">
      <dsp:nvSpPr>
        <dsp:cNvPr id="0" name=""/>
        <dsp:cNvSpPr/>
      </dsp:nvSpPr>
      <dsp:spPr>
        <a:xfrm>
          <a:off x="3633293" y="165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t>Asset Management </a:t>
          </a:r>
        </a:p>
        <a:p>
          <a:pPr marL="0" marR="0" lvl="0" indent="0" algn="ctr" defTabSz="355600" rtl="0">
            <a:lnSpc>
              <a:spcPct val="90000"/>
            </a:lnSpc>
            <a:spcBef>
              <a:spcPct val="0"/>
            </a:spcBef>
            <a:spcAft>
              <a:spcPct val="35000"/>
            </a:spcAft>
            <a:buNone/>
          </a:pPr>
          <a: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t>Review Group</a:t>
          </a:r>
          <a:endParaRPr lang="en-GB" sz="800" kern="1200">
            <a:solidFill>
              <a:sysClr val="window" lastClr="FFFFFF"/>
            </a:solidFill>
            <a:latin typeface="Calibri" panose="020F0502020204030204"/>
            <a:ea typeface="+mn-ea"/>
            <a:cs typeface="+mn-cs"/>
          </a:endParaRPr>
        </a:p>
      </dsp:txBody>
      <dsp:txXfrm>
        <a:off x="3633293" y="1650"/>
        <a:ext cx="1023338" cy="511669"/>
      </dsp:txXfrm>
    </dsp:sp>
    <dsp:sp modelId="{86BAFBAA-C63F-4DD9-A426-237F70160FD4}">
      <dsp:nvSpPr>
        <dsp:cNvPr id="0" name=""/>
        <dsp:cNvSpPr/>
      </dsp:nvSpPr>
      <dsp:spPr>
        <a:xfrm>
          <a:off x="1156814" y="72822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t>Legal</a:t>
          </a:r>
        </a:p>
        <a:p>
          <a:pPr marL="0" marR="0" lvl="0" indent="0" algn="ctr" defTabSz="355600" rtl="0">
            <a:lnSpc>
              <a:spcPct val="90000"/>
            </a:lnSpc>
            <a:spcBef>
              <a:spcPct val="0"/>
            </a:spcBef>
            <a:spcAft>
              <a:spcPct val="35000"/>
            </a:spcAft>
            <a:buNone/>
          </a:pPr>
          <a:endPar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endParaRPr>
        </a:p>
      </dsp:txBody>
      <dsp:txXfrm>
        <a:off x="1156814" y="728220"/>
        <a:ext cx="1023338" cy="511669"/>
      </dsp:txXfrm>
    </dsp:sp>
    <dsp:sp modelId="{72D5AC26-0082-4E8E-AB89-A5A6B1734B39}">
      <dsp:nvSpPr>
        <dsp:cNvPr id="0" name=""/>
        <dsp:cNvSpPr/>
      </dsp:nvSpPr>
      <dsp:spPr>
        <a:xfrm>
          <a:off x="537695" y="145479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t>Insurance </a:t>
          </a:r>
          <a:endParaRPr lang="en-GB" sz="800" kern="1200">
            <a:solidFill>
              <a:sysClr val="window" lastClr="FFFFFF"/>
            </a:solidFill>
            <a:latin typeface="Calibri" panose="020F0502020204030204"/>
            <a:ea typeface="+mn-ea"/>
            <a:cs typeface="+mn-cs"/>
          </a:endParaRPr>
        </a:p>
      </dsp:txBody>
      <dsp:txXfrm>
        <a:off x="537695" y="1454790"/>
        <a:ext cx="1023338" cy="511669"/>
      </dsp:txXfrm>
    </dsp:sp>
    <dsp:sp modelId="{A6874410-B024-4D69-9538-49330081A7E5}">
      <dsp:nvSpPr>
        <dsp:cNvPr id="0" name=""/>
        <dsp:cNvSpPr/>
      </dsp:nvSpPr>
      <dsp:spPr>
        <a:xfrm>
          <a:off x="1775934" y="145479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t>Contractual</a:t>
          </a:r>
        </a:p>
        <a:p>
          <a:pPr marL="0" marR="0" lvl="0" indent="0" algn="ctr" defTabSz="355600" rtl="0">
            <a:lnSpc>
              <a:spcPct val="90000"/>
            </a:lnSpc>
            <a:spcBef>
              <a:spcPct val="0"/>
            </a:spcBef>
            <a:spcAft>
              <a:spcPct val="35000"/>
            </a:spcAft>
            <a:buNone/>
          </a:pPr>
          <a: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t>Adherence</a:t>
          </a:r>
        </a:p>
        <a:p>
          <a:pPr marL="0" marR="0" lvl="0" indent="0" algn="ctr" defTabSz="355600" rtl="0">
            <a:lnSpc>
              <a:spcPct val="90000"/>
            </a:lnSpc>
            <a:spcBef>
              <a:spcPct val="0"/>
            </a:spcBef>
            <a:spcAft>
              <a:spcPct val="35000"/>
            </a:spcAft>
            <a:buNone/>
          </a:pPr>
          <a: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t>Lease arrangements</a:t>
          </a:r>
          <a:endParaRPr lang="en-GB" sz="800" kern="1200">
            <a:solidFill>
              <a:sysClr val="window" lastClr="FFFFFF"/>
            </a:solidFill>
            <a:latin typeface="Calibri" panose="020F0502020204030204"/>
            <a:ea typeface="+mn-ea"/>
            <a:cs typeface="+mn-cs"/>
          </a:endParaRPr>
        </a:p>
      </dsp:txBody>
      <dsp:txXfrm>
        <a:off x="1775934" y="1454790"/>
        <a:ext cx="1023338" cy="511669"/>
      </dsp:txXfrm>
    </dsp:sp>
    <dsp:sp modelId="{EAB2F8B3-36A7-4CFD-85C5-4BED273567DC}">
      <dsp:nvSpPr>
        <dsp:cNvPr id="0" name=""/>
        <dsp:cNvSpPr/>
      </dsp:nvSpPr>
      <dsp:spPr>
        <a:xfrm>
          <a:off x="537695" y="218136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t>Compliance</a:t>
          </a:r>
          <a:b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br>
          <a: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t>Government</a:t>
          </a:r>
          <a:b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br>
          <a: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t>Financial</a:t>
          </a:r>
          <a:endParaRPr lang="en-GB" sz="800" kern="1200">
            <a:solidFill>
              <a:sysClr val="window" lastClr="FFFFFF"/>
            </a:solidFill>
            <a:latin typeface="Calibri" panose="020F0502020204030204"/>
            <a:ea typeface="+mn-ea"/>
            <a:cs typeface="+mn-cs"/>
          </a:endParaRPr>
        </a:p>
      </dsp:txBody>
      <dsp:txXfrm>
        <a:off x="537695" y="2181360"/>
        <a:ext cx="1023338" cy="511669"/>
      </dsp:txXfrm>
    </dsp:sp>
    <dsp:sp modelId="{F342FFC2-F371-47A5-8103-CDB061668A8F}">
      <dsp:nvSpPr>
        <dsp:cNvPr id="0" name=""/>
        <dsp:cNvSpPr/>
      </dsp:nvSpPr>
      <dsp:spPr>
        <a:xfrm>
          <a:off x="3633293" y="72822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t>Financial</a:t>
          </a:r>
          <a:endParaRPr lang="en-GB" sz="800" kern="1200">
            <a:solidFill>
              <a:sysClr val="window" lastClr="FFFFFF"/>
            </a:solidFill>
            <a:latin typeface="Calibri" panose="020F0502020204030204"/>
            <a:ea typeface="+mn-ea"/>
            <a:cs typeface="+mn-cs"/>
          </a:endParaRPr>
        </a:p>
      </dsp:txBody>
      <dsp:txXfrm>
        <a:off x="3633293" y="728220"/>
        <a:ext cx="1023338" cy="511669"/>
      </dsp:txXfrm>
    </dsp:sp>
    <dsp:sp modelId="{7C6A2347-2505-4F19-8350-9A43AA290FAE}">
      <dsp:nvSpPr>
        <dsp:cNvPr id="0" name=""/>
        <dsp:cNvSpPr/>
      </dsp:nvSpPr>
      <dsp:spPr>
        <a:xfrm>
          <a:off x="3014173" y="145479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t>Asset Valuations</a:t>
          </a:r>
          <a:endParaRPr lang="en-GB" sz="800" kern="1200">
            <a:solidFill>
              <a:sysClr val="window" lastClr="FFFFFF"/>
            </a:solidFill>
            <a:latin typeface="Calibri" panose="020F0502020204030204"/>
            <a:ea typeface="+mn-ea"/>
            <a:cs typeface="+mn-cs"/>
          </a:endParaRPr>
        </a:p>
      </dsp:txBody>
      <dsp:txXfrm>
        <a:off x="3014173" y="1454790"/>
        <a:ext cx="1023338" cy="511669"/>
      </dsp:txXfrm>
    </dsp:sp>
    <dsp:sp modelId="{9FFE92B8-C234-4EFF-AF08-E9FA56058E25}">
      <dsp:nvSpPr>
        <dsp:cNvPr id="0" name=""/>
        <dsp:cNvSpPr/>
      </dsp:nvSpPr>
      <dsp:spPr>
        <a:xfrm>
          <a:off x="4252413" y="145479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t>Asset income monitoring and assurance </a:t>
          </a:r>
        </a:p>
      </dsp:txBody>
      <dsp:txXfrm>
        <a:off x="4252413" y="1454790"/>
        <a:ext cx="1023338" cy="511669"/>
      </dsp:txXfrm>
    </dsp:sp>
    <dsp:sp modelId="{DFC90921-972D-49AB-8070-DFBE72526D55}">
      <dsp:nvSpPr>
        <dsp:cNvPr id="0" name=""/>
        <dsp:cNvSpPr/>
      </dsp:nvSpPr>
      <dsp:spPr>
        <a:xfrm>
          <a:off x="3014173" y="218136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t>Lease Event Horizon Planning</a:t>
          </a:r>
        </a:p>
      </dsp:txBody>
      <dsp:txXfrm>
        <a:off x="3014173" y="2181360"/>
        <a:ext cx="1023338" cy="511669"/>
      </dsp:txXfrm>
    </dsp:sp>
    <dsp:sp modelId="{EFC648D2-CD1C-4B2D-98E5-ABF3DED1BDFE}">
      <dsp:nvSpPr>
        <dsp:cNvPr id="0" name=""/>
        <dsp:cNvSpPr/>
      </dsp:nvSpPr>
      <dsp:spPr>
        <a:xfrm>
          <a:off x="4252413" y="218136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t>Financial Forecasting and Management</a:t>
          </a:r>
          <a:endParaRPr lang="en-GB" sz="800" kern="1200">
            <a:solidFill>
              <a:sysClr val="window" lastClr="FFFFFF"/>
            </a:solidFill>
            <a:latin typeface="Calibri" panose="020F0502020204030204"/>
            <a:ea typeface="+mn-ea"/>
            <a:cs typeface="+mn-cs"/>
          </a:endParaRPr>
        </a:p>
      </dsp:txBody>
      <dsp:txXfrm>
        <a:off x="4252413" y="2181360"/>
        <a:ext cx="1023338" cy="511669"/>
      </dsp:txXfrm>
    </dsp:sp>
    <dsp:sp modelId="{5BD2E5C2-0AD5-4274-8CE4-160537C945D1}">
      <dsp:nvSpPr>
        <dsp:cNvPr id="0" name=""/>
        <dsp:cNvSpPr/>
      </dsp:nvSpPr>
      <dsp:spPr>
        <a:xfrm>
          <a:off x="3014173" y="290793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t>Adherence to Government Direction</a:t>
          </a:r>
          <a:endParaRPr lang="en-GB" sz="800" kern="1200">
            <a:solidFill>
              <a:sysClr val="window" lastClr="FFFFFF"/>
            </a:solidFill>
            <a:latin typeface="Calibri" panose="020F0502020204030204"/>
            <a:ea typeface="+mn-ea"/>
            <a:cs typeface="+mn-cs"/>
          </a:endParaRPr>
        </a:p>
      </dsp:txBody>
      <dsp:txXfrm>
        <a:off x="3014173" y="2907930"/>
        <a:ext cx="1023338" cy="511669"/>
      </dsp:txXfrm>
    </dsp:sp>
    <dsp:sp modelId="{110D6C80-F22F-4C8F-925D-C49321B21C0F}">
      <dsp:nvSpPr>
        <dsp:cNvPr id="0" name=""/>
        <dsp:cNvSpPr/>
      </dsp:nvSpPr>
      <dsp:spPr>
        <a:xfrm>
          <a:off x="6109771" y="72822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t>Programme Management</a:t>
          </a:r>
          <a:endParaRPr lang="en-GB" sz="800" kern="1200">
            <a:solidFill>
              <a:sysClr val="window" lastClr="FFFFFF"/>
            </a:solidFill>
            <a:latin typeface="Calibri" panose="020F0502020204030204"/>
            <a:ea typeface="+mn-ea"/>
            <a:cs typeface="+mn-cs"/>
          </a:endParaRPr>
        </a:p>
      </dsp:txBody>
      <dsp:txXfrm>
        <a:off x="6109771" y="728220"/>
        <a:ext cx="1023338" cy="511669"/>
      </dsp:txXfrm>
    </dsp:sp>
    <dsp:sp modelId="{A72E9433-397F-4626-81ED-EB4B6DD59303}">
      <dsp:nvSpPr>
        <dsp:cNvPr id="0" name=""/>
        <dsp:cNvSpPr/>
      </dsp:nvSpPr>
      <dsp:spPr>
        <a:xfrm>
          <a:off x="5490652" y="145479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t>Risk and Issue mitigation and management</a:t>
          </a:r>
          <a:endParaRPr lang="en-GB" sz="800" kern="1200">
            <a:solidFill>
              <a:sysClr val="window" lastClr="FFFFFF"/>
            </a:solidFill>
            <a:latin typeface="Calibri" panose="020F0502020204030204"/>
            <a:ea typeface="+mn-ea"/>
            <a:cs typeface="+mn-cs"/>
          </a:endParaRPr>
        </a:p>
      </dsp:txBody>
      <dsp:txXfrm>
        <a:off x="5490652" y="1454790"/>
        <a:ext cx="1023338" cy="511669"/>
      </dsp:txXfrm>
    </dsp:sp>
    <dsp:sp modelId="{BBD7AB97-C2B8-4E43-8F05-8D747B2098AE}">
      <dsp:nvSpPr>
        <dsp:cNvPr id="0" name=""/>
        <dsp:cNvSpPr/>
      </dsp:nvSpPr>
      <dsp:spPr>
        <a:xfrm>
          <a:off x="6728891" y="145479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t>Monitor and review Commercial Investment Portfolio</a:t>
          </a:r>
          <a:endParaRPr lang="en-GB" sz="800" kern="1200">
            <a:solidFill>
              <a:sysClr val="window" lastClr="FFFFFF"/>
            </a:solidFill>
            <a:latin typeface="Calibri" panose="020F0502020204030204"/>
            <a:ea typeface="+mn-ea"/>
            <a:cs typeface="+mn-cs"/>
          </a:endParaRPr>
        </a:p>
      </dsp:txBody>
      <dsp:txXfrm>
        <a:off x="6728891" y="1454790"/>
        <a:ext cx="1023338" cy="511669"/>
      </dsp:txXfrm>
    </dsp:sp>
    <dsp:sp modelId="{6713B7F8-D640-4C1F-824D-06AD463F5A82}">
      <dsp:nvSpPr>
        <dsp:cNvPr id="0" name=""/>
        <dsp:cNvSpPr/>
      </dsp:nvSpPr>
      <dsp:spPr>
        <a:xfrm>
          <a:off x="5490652" y="218136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t>Align Legal, Financial and Asset  Management processes </a:t>
          </a:r>
          <a:endParaRPr lang="en-GB" sz="800" kern="1200">
            <a:solidFill>
              <a:sysClr val="window" lastClr="FFFFFF"/>
            </a:solidFill>
            <a:latin typeface="Calibri" panose="020F0502020204030204"/>
            <a:ea typeface="+mn-ea"/>
            <a:cs typeface="+mn-cs"/>
          </a:endParaRPr>
        </a:p>
      </dsp:txBody>
      <dsp:txXfrm>
        <a:off x="5490652" y="2181360"/>
        <a:ext cx="1023338" cy="511669"/>
      </dsp:txXfrm>
    </dsp:sp>
    <dsp:sp modelId="{FBE1CD44-1476-4DCA-9852-1D3F3D3EEAF8}">
      <dsp:nvSpPr>
        <dsp:cNvPr id="0" name=""/>
        <dsp:cNvSpPr/>
      </dsp:nvSpPr>
      <dsp:spPr>
        <a:xfrm>
          <a:off x="6728891" y="218136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t>Strategic Forecasting and management</a:t>
          </a:r>
        </a:p>
      </dsp:txBody>
      <dsp:txXfrm>
        <a:off x="6728891" y="2181360"/>
        <a:ext cx="1023338" cy="511669"/>
      </dsp:txXfrm>
    </dsp:sp>
    <dsp:sp modelId="{C7807037-965F-4BEB-A98A-80017D0E22B4}">
      <dsp:nvSpPr>
        <dsp:cNvPr id="0" name=""/>
        <dsp:cNvSpPr/>
      </dsp:nvSpPr>
      <dsp:spPr>
        <a:xfrm>
          <a:off x="5490652" y="290793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t>Soft Market Testing</a:t>
          </a:r>
          <a:endParaRPr lang="en-GB" sz="800" kern="1200">
            <a:solidFill>
              <a:sysClr val="window" lastClr="FFFFFF"/>
            </a:solidFill>
            <a:latin typeface="Calibri" panose="020F0502020204030204"/>
            <a:ea typeface="+mn-ea"/>
            <a:cs typeface="+mn-cs"/>
          </a:endParaRPr>
        </a:p>
      </dsp:txBody>
      <dsp:txXfrm>
        <a:off x="5490652" y="2907930"/>
        <a:ext cx="1023338" cy="511669"/>
      </dsp:txXfrm>
    </dsp:sp>
    <dsp:sp modelId="{7E42CC19-9267-47C1-9D6D-1562521E402C}">
      <dsp:nvSpPr>
        <dsp:cNvPr id="0" name=""/>
        <dsp:cNvSpPr/>
      </dsp:nvSpPr>
      <dsp:spPr>
        <a:xfrm>
          <a:off x="6728891" y="290793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t>Options Appraisal</a:t>
          </a:r>
          <a:endParaRPr lang="en-GB" sz="800" kern="1200">
            <a:solidFill>
              <a:sysClr val="window" lastClr="FFFFFF"/>
            </a:solidFill>
            <a:latin typeface="Calibri" panose="020F0502020204030204"/>
            <a:ea typeface="+mn-ea"/>
            <a:cs typeface="+mn-cs"/>
          </a:endParaRPr>
        </a:p>
      </dsp:txBody>
      <dsp:txXfrm>
        <a:off x="6728891" y="2907930"/>
        <a:ext cx="1023338" cy="511669"/>
      </dsp:txXfrm>
    </dsp:sp>
    <dsp:sp modelId="{9CC4A7A3-F103-461E-BECB-51762CCD582C}">
      <dsp:nvSpPr>
        <dsp:cNvPr id="0" name=""/>
        <dsp:cNvSpPr/>
      </dsp:nvSpPr>
      <dsp:spPr>
        <a:xfrm>
          <a:off x="5490652" y="3634500"/>
          <a:ext cx="1023338" cy="51166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altLang="ja-JP" sz="800" b="0" i="0" u="none" strike="noStrike" kern="1200" baseline="0">
              <a:solidFill>
                <a:sysClr val="window" lastClr="FFFFFF"/>
              </a:solidFill>
              <a:latin typeface="Calibri" panose="020F0502020204030204" pitchFamily="34" charset="0"/>
              <a:ea typeface="Yu Mincho" panose="02020400000000000000" pitchFamily="18" charset="-128"/>
              <a:cs typeface="+mn-cs"/>
            </a:rPr>
            <a:t>Estates Obligations</a:t>
          </a:r>
          <a:endParaRPr lang="en-GB" sz="800" kern="1200">
            <a:solidFill>
              <a:sysClr val="window" lastClr="FFFFFF"/>
            </a:solidFill>
            <a:latin typeface="Calibri" panose="020F0502020204030204"/>
            <a:ea typeface="+mn-ea"/>
            <a:cs typeface="+mn-cs"/>
          </a:endParaRPr>
        </a:p>
      </dsp:txBody>
      <dsp:txXfrm>
        <a:off x="5490652" y="3634500"/>
        <a:ext cx="1023338" cy="5116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5C47B428865C498C6E581D6A00CC3C" ma:contentTypeVersion="6" ma:contentTypeDescription="Create a new document." ma:contentTypeScope="" ma:versionID="29f5852343777c17ae966bc8dec4376f">
  <xsd:schema xmlns:xsd="http://www.w3.org/2001/XMLSchema" xmlns:xs="http://www.w3.org/2001/XMLSchema" xmlns:p="http://schemas.microsoft.com/office/2006/metadata/properties" xmlns:ns2="6bea1efa-7eb4-47fe-a607-9b31159ed633" xmlns:ns3="2bcb9c72-7a05-4fac-a8ca-22a37530ea86" targetNamespace="http://schemas.microsoft.com/office/2006/metadata/properties" ma:root="true" ma:fieldsID="2df26a4b3517ac41c9b76a06b4dbd468" ns2:_="" ns3:_="">
    <xsd:import namespace="6bea1efa-7eb4-47fe-a607-9b31159ed633"/>
    <xsd:import namespace="2bcb9c72-7a05-4fac-a8ca-22a37530ea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a1efa-7eb4-47fe-a607-9b31159ed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cb9c72-7a05-4fac-a8ca-22a37530ea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bcb9c72-7a05-4fac-a8ca-22a37530ea86">
      <UserInfo>
        <DisplayName>Chester, Clare</DisplayName>
        <AccountId>13</AccountId>
        <AccountType/>
      </UserInfo>
      <UserInfo>
        <DisplayName>Ellis, Simon</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E971A35-BF5B-004D-90C5-77C26A2EC46C}">
  <ds:schemaRefs>
    <ds:schemaRef ds:uri="http://schemas.openxmlformats.org/officeDocument/2006/bibliography"/>
  </ds:schemaRefs>
</ds:datastoreItem>
</file>

<file path=customXml/itemProps2.xml><?xml version="1.0" encoding="utf-8"?>
<ds:datastoreItem xmlns:ds="http://schemas.openxmlformats.org/officeDocument/2006/customXml" ds:itemID="{0A09BD02-9D42-41CC-A1AF-D1621974B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a1efa-7eb4-47fe-a607-9b31159ed633"/>
    <ds:schemaRef ds:uri="2bcb9c72-7a05-4fac-a8ca-22a37530e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96150-3CFB-4DE8-B460-554B665763CA}">
  <ds:schemaRefs>
    <ds:schemaRef ds:uri="6bea1efa-7eb4-47fe-a607-9b31159ed633"/>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2bcb9c72-7a05-4fac-a8ca-22a37530ea86"/>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AFD6391-F691-994D-86BF-5C734A737D52}">
  <ds:schemaRefs>
    <ds:schemaRef ds:uri="http://schemas.microsoft.com/sharepoint/v3/contenttype/forms"/>
  </ds:schemaRefs>
</ds:datastoreItem>
</file>

<file path=customXml/itemProps5.xml><?xml version="1.0" encoding="utf-8"?>
<ds:datastoreItem xmlns:ds="http://schemas.openxmlformats.org/officeDocument/2006/customXml" ds:itemID="{05F5B0E6-437B-4829-ABF4-EE44A366811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Mindscope template</Template>
  <TotalTime>290</TotalTime>
  <Pages>9</Pages>
  <Words>1356</Words>
  <Characters>7733</Characters>
  <Application>Microsoft Office Word</Application>
  <DocSecurity>0</DocSecurity>
  <Lines>64</Lines>
  <Paragraphs>18</Paragraphs>
  <ScaleCrop>false</ScaleCrop>
  <Company>PMadvice</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Terms of Reference</dc:title>
  <dc:subject>Project Initiation</dc:subject>
  <dc:creator>Beach, Simon</dc:creator>
  <cp:keywords/>
  <dc:description/>
  <cp:lastModifiedBy>Beach, Simon</cp:lastModifiedBy>
  <cp:revision>87</cp:revision>
  <cp:lastPrinted>2019-02-14T16:56:00Z</cp:lastPrinted>
  <dcterms:created xsi:type="dcterms:W3CDTF">2022-11-24T08:52:00Z</dcterms:created>
  <dcterms:modified xsi:type="dcterms:W3CDTF">2023-04-25T08:13:00Z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0x0101008F5C47B428865C498C6E581D6A00CC3C</vt:lpwstr>
  </property>
  <property fmtid="{D5CDD505-2E9C-101B-9397-08002B2CF9AE}" pid="3" name="display_urn:schemas-microsoft-com:office:office#SharedWithUsers">
    <vt:lpwstr>Chester, Clare</vt:lpwstr>
  </property>
  <property fmtid="{D5CDD505-2E9C-101B-9397-08002B2CF9AE}" pid="4" name="SharedWithUsers">
    <vt:lpwstr>13;#Chester, Clare</vt:lpwstr>
  </property>
</Properties>
</file>